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tabs>
          <w:tab w:val="left" w:pos="567"/>
        </w:tabs>
        <w:rPr>
          <w:rFonts w:hint="default" w:ascii="Arial" w:hAnsi="Arial" w:eastAsia="宋体" w:cs="Arial"/>
          <w:b/>
          <w:sz w:val="24"/>
          <w:szCs w:val="24"/>
          <w:lang w:val="en-US" w:eastAsia="zh-CN"/>
        </w:rPr>
      </w:pPr>
      <w:bookmarkStart w:id="0" w:name="_Toc481570476"/>
      <w:bookmarkStart w:id="1" w:name="_Toc519094990"/>
      <w:bookmarkStart w:id="2" w:name="historyclause"/>
      <w:bookmarkStart w:id="3" w:name="_Toc481653327"/>
      <w:r>
        <w:rPr>
          <w:rFonts w:ascii="Arial" w:hAnsi="Arial" w:cs="Arial"/>
          <w:b/>
          <w:sz w:val="24"/>
          <w:szCs w:val="24"/>
        </w:rPr>
        <w:t>3GPP TSG RAN meeting #9</w:t>
      </w:r>
      <w:r>
        <w:rPr>
          <w:rFonts w:hint="eastAsia" w:ascii="Arial" w:hAnsi="Arial" w:eastAsia="宋体" w:cs="Arial"/>
          <w:b/>
          <w:sz w:val="24"/>
          <w:szCs w:val="24"/>
          <w:lang w:val="en-US" w:eastAsia="zh-CN"/>
        </w:rPr>
        <w:t>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w:t>
      </w:r>
      <w:r>
        <w:rPr>
          <w:rFonts w:hint="eastAsia" w:ascii="Arial" w:hAnsi="Arial" w:eastAsia="宋体" w:cs="Arial"/>
          <w:b/>
          <w:sz w:val="24"/>
          <w:szCs w:val="24"/>
          <w:lang w:val="en-US" w:eastAsia="zh-CN"/>
        </w:rPr>
        <w:t>30365</w:t>
      </w:r>
    </w:p>
    <w:p>
      <w:pPr>
        <w:tabs>
          <w:tab w:val="right" w:pos="10440"/>
          <w:tab w:val="right" w:pos="13323"/>
        </w:tabs>
        <w:spacing w:after="240" w:afterLines="100"/>
        <w:rPr>
          <w:rFonts w:hint="eastAsia" w:ascii="Arial" w:hAnsi="Arial" w:cs="Arial"/>
          <w:b/>
          <w:sz w:val="24"/>
        </w:rPr>
      </w:pPr>
      <w:r>
        <w:rPr>
          <w:rFonts w:hint="eastAsia" w:ascii="Arial" w:hAnsi="Arial" w:cs="Arial"/>
          <w:b/>
          <w:sz w:val="24"/>
        </w:rPr>
        <w:t>Rotterdam, Netherlands, March 20-23, 2023</w:t>
      </w:r>
    </w:p>
    <w:p>
      <w:pPr>
        <w:tabs>
          <w:tab w:val="left" w:pos="1985"/>
        </w:tabs>
        <w:jc w:val="both"/>
        <w:rPr>
          <w:rFonts w:hint="default" w:ascii="Arial" w:hAnsi="Arial" w:cs="Arial" w:eastAsiaTheme="minorEastAsia"/>
          <w:sz w:val="22"/>
          <w:szCs w:val="22"/>
          <w:lang w:val="en-US" w:eastAsia="zh-CN"/>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China Unicom</w:t>
      </w:r>
    </w:p>
    <w:p>
      <w:pPr>
        <w:tabs>
          <w:tab w:val="left" w:pos="1985"/>
        </w:tabs>
        <w:jc w:val="both"/>
        <w:rPr>
          <w:rFonts w:ascii="Arial" w:hAnsi="Arial" w:cs="Arial"/>
          <w:color w:val="000000" w:themeColor="text1"/>
          <w:sz w:val="22"/>
          <w:szCs w:val="22"/>
          <w14:textFill>
            <w14:solidFill>
              <w14:schemeClr w14:val="tx1"/>
            </w14:solidFill>
          </w14:textFill>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 xml:space="preserve">Discussion on extending current FDD PC2 HPUE basket WI to address </w:t>
      </w:r>
      <w:r>
        <w:rPr>
          <w:rFonts w:hint="eastAsia" w:ascii="Arial" w:hAnsi="Arial" w:cs="Arial"/>
          <w:b/>
          <w:sz w:val="22"/>
          <w:szCs w:val="22"/>
          <w:lang w:val="en-US" w:eastAsia="zh-CN"/>
        </w:rPr>
        <w:tab/>
      </w:r>
      <w:r>
        <w:rPr>
          <w:rFonts w:hint="eastAsia" w:ascii="Arial" w:hAnsi="Arial" w:cs="Arial"/>
          <w:b/>
          <w:sz w:val="22"/>
          <w:szCs w:val="22"/>
        </w:rPr>
        <w:t>Redcap HPUE demands for FDD band(s)</w:t>
      </w:r>
    </w:p>
    <w:p>
      <w:pPr>
        <w:tabs>
          <w:tab w:val="left" w:pos="1985"/>
        </w:tabs>
        <w:jc w:val="both"/>
        <w:rPr>
          <w:rFonts w:hint="default" w:ascii="Arial" w:hAnsi="Arial" w:cs="Arial" w:eastAsiaTheme="minorEastAsia"/>
          <w:b/>
          <w:color w:val="000000" w:themeColor="text1"/>
          <w:sz w:val="22"/>
          <w:szCs w:val="22"/>
          <w:lang w:val="en-US" w:eastAsia="zh-CN"/>
          <w14:textFill>
            <w14:solidFill>
              <w14:schemeClr w14:val="tx1"/>
            </w14:solidFill>
          </w14:textFill>
        </w:rPr>
      </w:pPr>
      <w:r>
        <w:rPr>
          <w:rFonts w:ascii="Arial" w:hAnsi="Arial" w:cs="Arial"/>
          <w:b/>
          <w:color w:val="000000" w:themeColor="text1"/>
          <w:sz w:val="22"/>
          <w:szCs w:val="22"/>
          <w14:textFill>
            <w14:solidFill>
              <w14:schemeClr w14:val="tx1"/>
            </w14:solidFill>
          </w14:textFill>
        </w:rPr>
        <w:t>Agenda Item:</w:t>
      </w:r>
      <w:r>
        <w:rPr>
          <w:rFonts w:ascii="Arial" w:hAnsi="Arial" w:cs="Arial"/>
          <w:b/>
          <w:color w:val="000000" w:themeColor="text1"/>
          <w:sz w:val="22"/>
          <w:szCs w:val="22"/>
          <w14:textFill>
            <w14:solidFill>
              <w14:schemeClr w14:val="tx1"/>
            </w14:solidFill>
          </w14:textFill>
        </w:rPr>
        <w:tab/>
      </w:r>
      <w:r>
        <w:rPr>
          <w:rFonts w:hint="eastAsia" w:ascii="Arial" w:hAnsi="Arial" w:cs="Arial"/>
          <w:color w:val="000000" w:themeColor="text1"/>
          <w:sz w:val="22"/>
          <w:szCs w:val="22"/>
          <w:lang w:val="en-US" w:eastAsia="zh-CN"/>
          <w14:textFill>
            <w14:solidFill>
              <w14:schemeClr w14:val="tx1"/>
            </w14:solidFill>
          </w14:textFill>
        </w:rPr>
        <w:t>9.1.5</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rPr>
        <w:t>Approval</w:t>
      </w:r>
    </w:p>
    <w:p>
      <w:pPr>
        <w:pStyle w:val="2"/>
        <w:tabs>
          <w:tab w:val="left" w:pos="432"/>
        </w:tabs>
        <w:ind w:left="432" w:hanging="432"/>
        <w:rPr>
          <w:rStyle w:val="27"/>
          <w:rFonts w:eastAsia="宋体"/>
        </w:rPr>
      </w:pPr>
      <w:r>
        <w:rPr>
          <w:rStyle w:val="27"/>
          <w:rFonts w:eastAsia="宋体"/>
        </w:rPr>
        <w:t>1</w:t>
      </w:r>
      <w:r>
        <w:rPr>
          <w:rStyle w:val="27"/>
          <w:rFonts w:eastAsia="宋体"/>
        </w:rPr>
        <w:tab/>
      </w:r>
      <w:r>
        <w:rPr>
          <w:rStyle w:val="27"/>
          <w:rFonts w:eastAsia="宋体"/>
        </w:rPr>
        <w:t>Introduction</w:t>
      </w:r>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This paper </w:t>
      </w:r>
      <w:r>
        <w:rPr>
          <w:rFonts w:hint="eastAsia"/>
          <w:color w:val="000000" w:themeColor="text1"/>
          <w:lang w:val="en-US" w:eastAsia="zh-CN"/>
          <w14:textFill>
            <w14:solidFill>
              <w14:schemeClr w14:val="tx1"/>
            </w14:solidFill>
          </w14:textFill>
        </w:rPr>
        <w:t>discusses the background and motivation on extending scope of WI HPUE_NR_FR1_FDD_R18  to cover Redcap HPUE for FDD band(s)</w:t>
      </w:r>
      <w:r>
        <w:rPr>
          <w:color w:val="000000" w:themeColor="text1"/>
          <w:lang w:eastAsia="zh-CN"/>
          <w14:textFill>
            <w14:solidFill>
              <w14:schemeClr w14:val="tx1"/>
            </w14:solidFill>
          </w14:textFill>
        </w:rPr>
        <w:t>.</w:t>
      </w:r>
    </w:p>
    <w:p>
      <w:pPr>
        <w:pStyle w:val="2"/>
        <w:tabs>
          <w:tab w:val="left" w:pos="432"/>
        </w:tabs>
        <w:ind w:left="0" w:firstLine="0"/>
        <w:rPr>
          <w:rStyle w:val="27"/>
          <w:rFonts w:eastAsia="宋体"/>
        </w:rPr>
      </w:pPr>
      <w:r>
        <w:rPr>
          <w:rStyle w:val="27"/>
          <w:rFonts w:eastAsia="宋体"/>
        </w:rPr>
        <w:t>2</w:t>
      </w:r>
      <w:r>
        <w:rPr>
          <w:rStyle w:val="27"/>
          <w:rFonts w:eastAsia="宋体"/>
        </w:rPr>
        <w:tab/>
      </w:r>
      <w:r>
        <w:rPr>
          <w:rStyle w:val="27"/>
          <w:rFonts w:eastAsia="宋体"/>
        </w:rPr>
        <w:t>Discussion</w:t>
      </w:r>
    </w:p>
    <w:p>
      <w:pPr>
        <w:rPr>
          <w:rFonts w:hint="default"/>
          <w:lang w:val="en-US" w:eastAsia="zh-CN"/>
        </w:rPr>
      </w:pPr>
      <w:r>
        <w:rPr>
          <w:rFonts w:hint="default"/>
          <w:lang w:val="en-US" w:eastAsia="zh-CN"/>
        </w:rPr>
        <w:t>Increasing the transmit power of UE has significant benefits on extending cell coverage area and improving the experience of cell edge users</w:t>
      </w:r>
      <w:r>
        <w:rPr>
          <w:rFonts w:hint="eastAsia"/>
          <w:lang w:val="en-US" w:eastAsia="zh-CN"/>
        </w:rPr>
        <w:t>, ranging from TDD bands to FDD bands. New SI [1] and WI [2] were approved in RAN-90e and RAN-93e in Rel-17 to study the feasibility and completing the normative work. And a basket WI [3] was further proposed in Rel-18 to standardize FDD PC2 HPUE for more bands according operators commercial deployment demands. The form factor for the UE in the current WI focuses on smart phones.</w:t>
      </w:r>
    </w:p>
    <w:p>
      <w:pPr>
        <w:rPr>
          <w:rFonts w:hint="eastAsia"/>
          <w:lang w:val="en-US" w:eastAsia="zh-CN"/>
        </w:rPr>
      </w:pPr>
      <w:r>
        <w:rPr>
          <w:rFonts w:hint="eastAsia"/>
          <w:lang w:val="en-US" w:eastAsia="zh-CN"/>
        </w:rPr>
        <w:t>Redcap UE is a form of terminal which had less complexity as compared to regular handheld UEs, targeting at wearable and industrial sensor use cases. Redcap UEs share the same RF requirements with handheld UEs of the same Tx/Rx numbers, following statements could be referred from TS38.101-1[4]:</w:t>
      </w:r>
    </w:p>
    <w:p>
      <w:pPr>
        <w:pStyle w:val="3"/>
        <w:rPr>
          <w:i/>
          <w:iCs/>
        </w:rPr>
      </w:pPr>
      <w:r>
        <w:rPr>
          <w:rFonts w:hint="default"/>
          <w:lang w:val="en-US" w:eastAsia="zh-CN"/>
        </w:rPr>
        <w:t>“</w:t>
      </w:r>
      <w:r>
        <w:rPr>
          <w:i/>
          <w:iCs/>
        </w:rPr>
        <w:t>6.2I</w:t>
      </w:r>
      <w:r>
        <w:rPr>
          <w:i/>
          <w:iCs/>
        </w:rPr>
        <w:tab/>
      </w:r>
      <w:r>
        <w:rPr>
          <w:i/>
          <w:iCs/>
        </w:rPr>
        <w:t>Transmitter power for RedCap</w:t>
      </w:r>
    </w:p>
    <w:p>
      <w:pPr>
        <w:pStyle w:val="4"/>
        <w:rPr>
          <w:i/>
          <w:iCs/>
          <w:lang w:eastAsia="zh-CN"/>
        </w:rPr>
      </w:pPr>
      <w:r>
        <w:rPr>
          <w:i/>
          <w:iCs/>
        </w:rPr>
        <w:t>6.2I.1</w:t>
      </w:r>
      <w:r>
        <w:rPr>
          <w:i/>
          <w:iCs/>
        </w:rPr>
        <w:tab/>
      </w:r>
      <w:r>
        <w:rPr>
          <w:i/>
          <w:iCs/>
        </w:rPr>
        <w:t>Maximum output power for RedCap</w:t>
      </w:r>
      <w:r>
        <w:rPr>
          <w:i/>
          <w:iCs/>
          <w:lang w:eastAsia="zh-CN"/>
        </w:rPr>
        <w:t xml:space="preserve"> </w:t>
      </w:r>
    </w:p>
    <w:p>
      <w:pPr>
        <w:rPr>
          <w:rFonts w:hint="default"/>
          <w:i/>
          <w:iCs/>
          <w:lang w:val="en-US" w:eastAsia="zh-CN"/>
        </w:rPr>
      </w:pPr>
      <w:r>
        <w:rPr>
          <w:rFonts w:cs="v5.0.0"/>
          <w:i/>
          <w:iCs/>
          <w:lang w:eastAsia="zh-CN"/>
        </w:rPr>
        <w:t>For Redcap UE, the requirements for power class 3 specified in clause 6.2.1 apply.</w:t>
      </w:r>
    </w:p>
    <w:p>
      <w:pPr>
        <w:rPr>
          <w:rFonts w:hint="default"/>
          <w:lang w:val="en-US" w:eastAsia="zh-CN"/>
        </w:rPr>
      </w:pPr>
      <w:r>
        <w:rPr>
          <w:rFonts w:hint="default"/>
          <w:lang w:val="en-US" w:eastAsia="zh-CN"/>
        </w:rPr>
        <w:t>”</w:t>
      </w:r>
    </w:p>
    <w:p>
      <w:pPr>
        <w:pStyle w:val="4"/>
        <w:rPr>
          <w:i/>
          <w:iCs/>
        </w:rPr>
      </w:pPr>
      <w:r>
        <w:rPr>
          <w:rFonts w:hint="default"/>
          <w:lang w:val="en-US" w:eastAsia="zh-CN"/>
        </w:rPr>
        <w:t>“</w:t>
      </w:r>
      <w:r>
        <w:rPr>
          <w:i/>
          <w:iCs/>
        </w:rPr>
        <w:t>7.3I.2</w:t>
      </w:r>
      <w:r>
        <w:rPr>
          <w:i/>
          <w:iCs/>
        </w:rPr>
        <w:tab/>
      </w:r>
      <w:r>
        <w:rPr>
          <w:i/>
          <w:iCs/>
        </w:rPr>
        <w:t>Reference sensitivity power level</w:t>
      </w:r>
    </w:p>
    <w:p>
      <w:pPr>
        <w:rPr>
          <w:rFonts w:hint="default"/>
          <w:i/>
          <w:iCs/>
          <w:lang w:val="en-US" w:eastAsia="zh-CN"/>
        </w:rPr>
      </w:pPr>
      <w:r>
        <w:rPr>
          <w:i/>
          <w:iCs/>
        </w:rP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i/>
          <w:iCs/>
          <w:lang w:val="en-US" w:eastAsia="zh-CN"/>
        </w:rPr>
        <w:t xml:space="preserve"> for the </w:t>
      </w:r>
      <w:r>
        <w:rPr>
          <w:i/>
          <w:iCs/>
        </w:rPr>
        <w:t>applicable operating bands. The reference sensitivity (REFSENS) requirement specified for a RedCap UE equipped with 2 Rx antenna ports shall be met with uplink transmission bandwidth less than or equal to that specified in Table 7.3.2-3 and, for FDD bands, with the Tx-Rx separation as defined in clause 5.4.4 for the applicable band and UE channel bandwidth.</w:t>
      </w:r>
    </w:p>
    <w:p>
      <w:pPr>
        <w:rPr>
          <w:rFonts w:hint="default"/>
          <w:lang w:val="en-US" w:eastAsia="zh-CN"/>
        </w:rPr>
      </w:pPr>
      <w:r>
        <w:rPr>
          <w:rFonts w:hint="default"/>
          <w:lang w:val="en-US" w:eastAsia="zh-CN"/>
        </w:rPr>
        <w:t>”</w:t>
      </w:r>
    </w:p>
    <w:p>
      <w:pPr>
        <w:rPr>
          <w:rFonts w:hint="eastAsia"/>
          <w:lang w:val="en-US" w:eastAsia="zh-CN"/>
        </w:rPr>
      </w:pPr>
      <w:r>
        <w:rPr>
          <w:rFonts w:hint="eastAsia"/>
          <w:lang w:val="en-US" w:eastAsia="zh-CN"/>
        </w:rPr>
        <w:t>Hence, it can be deduced that PC2 requirements for handheld UE could also apply to Redcap PC2 HP</w:t>
      </w:r>
      <w:bookmarkStart w:id="4" w:name="_GoBack"/>
      <w:bookmarkEnd w:id="4"/>
      <w:r>
        <w:rPr>
          <w:rFonts w:hint="eastAsia"/>
          <w:lang w:val="en-US" w:eastAsia="zh-CN"/>
        </w:rPr>
        <w:t>UE. And following proposal is made.</w:t>
      </w:r>
    </w:p>
    <w:p>
      <w:pPr>
        <w:rPr>
          <w:rFonts w:hint="default"/>
          <w:b/>
          <w:bCs/>
          <w:lang w:val="en-US" w:eastAsia="zh-CN"/>
        </w:rPr>
      </w:pPr>
      <w:r>
        <w:rPr>
          <w:rFonts w:hint="eastAsia"/>
          <w:b/>
          <w:bCs/>
          <w:lang w:val="en-US" w:eastAsia="zh-CN"/>
        </w:rPr>
        <w:t>Proposal 1: Extend the scope of current FDD/TDD single band HPUE WI to address the requirements for Redcap UE PC2.</w:t>
      </w:r>
    </w:p>
    <w:p>
      <w:pPr>
        <w:rPr>
          <w:rFonts w:hint="default"/>
          <w:lang w:val="en-US" w:eastAsia="zh-CN"/>
        </w:rPr>
      </w:pPr>
      <w:r>
        <w:rPr>
          <w:rFonts w:hint="eastAsia"/>
          <w:lang w:val="en-US" w:eastAsia="zh-CN"/>
        </w:rPr>
        <w:t xml:space="preserve"> </w:t>
      </w:r>
    </w:p>
    <w:p>
      <w:pPr>
        <w:pStyle w:val="2"/>
        <w:tabs>
          <w:tab w:val="left" w:pos="432"/>
        </w:tabs>
        <w:ind w:left="0" w:firstLine="0"/>
        <w:rPr>
          <w:rStyle w:val="27"/>
          <w:rFonts w:eastAsia="宋体"/>
        </w:rPr>
      </w:pPr>
      <w:r>
        <w:rPr>
          <w:rStyle w:val="27"/>
          <w:rFonts w:eastAsia="宋体"/>
        </w:rPr>
        <w:t>3</w:t>
      </w:r>
      <w:r>
        <w:rPr>
          <w:rStyle w:val="27"/>
          <w:rFonts w:eastAsia="宋体"/>
        </w:rPr>
        <w:tab/>
      </w:r>
      <w:r>
        <w:rPr>
          <w:rStyle w:val="27"/>
          <w:rFonts w:eastAsia="宋体"/>
        </w:rPr>
        <w:t>Conclusion</w:t>
      </w:r>
    </w:p>
    <w:p>
      <w:p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In this paper, </w:t>
      </w:r>
      <w:r>
        <w:rPr>
          <w:rFonts w:hint="eastAsia"/>
          <w:color w:val="000000" w:themeColor="text1"/>
          <w:lang w:val="en-US" w:eastAsia="zh-CN"/>
          <w14:textFill>
            <w14:solidFill>
              <w14:schemeClr w14:val="tx1"/>
            </w14:solidFill>
          </w14:textFill>
        </w:rPr>
        <w:t>the background and motivation on extending scope of WI HPUE_NR_FR1_FDD_R18 to cover Redcap HPUE was discussed</w:t>
      </w:r>
      <w:r>
        <w:rPr>
          <w:color w:val="000000" w:themeColor="text1"/>
          <w:lang w:val="en-US" w:eastAsia="zh-CN"/>
          <w14:textFill>
            <w14:solidFill>
              <w14:schemeClr w14:val="tx1"/>
            </w14:solidFill>
          </w14:textFill>
        </w:rPr>
        <w:t>. And the following proposal</w:t>
      </w:r>
      <w:r>
        <w:rPr>
          <w:rFonts w:hint="eastAsia"/>
          <w:color w:val="000000" w:themeColor="text1"/>
          <w:lang w:val="en-US" w:eastAsia="zh-CN"/>
          <w14:textFill>
            <w14:solidFill>
              <w14:schemeClr w14:val="tx1"/>
            </w14:solidFill>
          </w14:textFill>
        </w:rPr>
        <w:t xml:space="preserve"> is made</w:t>
      </w:r>
      <w:r>
        <w:rPr>
          <w:color w:val="000000" w:themeColor="text1"/>
          <w:lang w:val="en-US" w:eastAsia="zh-CN"/>
          <w14:textFill>
            <w14:solidFill>
              <w14:schemeClr w14:val="tx1"/>
            </w14:solidFill>
          </w14:textFill>
        </w:rPr>
        <w:t>:</w:t>
      </w:r>
    </w:p>
    <w:p>
      <w:pPr>
        <w:rPr>
          <w:b/>
          <w:lang w:val="en-US"/>
        </w:rPr>
      </w:pPr>
      <w:r>
        <w:rPr>
          <w:b/>
          <w:lang w:val="en-US"/>
        </w:rPr>
        <w:t xml:space="preserve">Proposal 1: </w:t>
      </w:r>
      <w:r>
        <w:rPr>
          <w:rFonts w:hint="eastAsia"/>
          <w:b/>
          <w:bCs/>
          <w:lang w:val="en-US" w:eastAsia="zh-CN"/>
        </w:rPr>
        <w:t>Extend the scope of current FDD/TDD single band HPUE WI to address the requirements for Redcap UE PC2</w:t>
      </w:r>
      <w:r>
        <w:rPr>
          <w:b/>
          <w:lang w:val="en-US"/>
        </w:rPr>
        <w:t>.</w:t>
      </w:r>
    </w:p>
    <w:p>
      <w:pPr>
        <w:rPr>
          <w:b/>
          <w:color w:val="000000" w:themeColor="text1"/>
          <w:lang w:eastAsia="zh-CN"/>
          <w14:textFill>
            <w14:solidFill>
              <w14:schemeClr w14:val="tx1"/>
            </w14:solidFill>
          </w14:textFill>
        </w:rPr>
      </w:pPr>
    </w:p>
    <w:p>
      <w:pPr>
        <w:pStyle w:val="2"/>
        <w:tabs>
          <w:tab w:val="left" w:pos="432"/>
        </w:tabs>
        <w:ind w:left="432" w:hanging="432"/>
        <w:rPr>
          <w:rStyle w:val="27"/>
          <w:rFonts w:eastAsia="宋体"/>
        </w:rPr>
      </w:pPr>
      <w:r>
        <w:rPr>
          <w:rStyle w:val="27"/>
          <w:rFonts w:eastAsia="宋体"/>
        </w:rPr>
        <w:t>References</w:t>
      </w:r>
    </w:p>
    <w:bookmarkEnd w:id="0"/>
    <w:bookmarkEnd w:id="1"/>
    <w:bookmarkEnd w:id="2"/>
    <w:bookmarkEnd w:id="3"/>
    <w:p>
      <w:pPr>
        <w:pStyle w:val="21"/>
        <w:numPr>
          <w:ilvl w:val="0"/>
          <w:numId w:val="1"/>
        </w:numPr>
        <w:rPr>
          <w:lang w:eastAsia="zh-CN"/>
        </w:rPr>
      </w:pPr>
      <w:r>
        <w:rPr>
          <w:rFonts w:hint="eastAsia"/>
          <w:lang w:eastAsia="zh-CN"/>
        </w:rPr>
        <w:t>RP-202870 New SID Study on high power UE (power class 2) for one NR FDD band</w:t>
      </w:r>
      <w:r>
        <w:rPr>
          <w:rFonts w:hint="eastAsia"/>
          <w:lang w:val="en-US" w:eastAsia="zh-CN"/>
        </w:rPr>
        <w:t>, RAN#90e</w:t>
      </w:r>
    </w:p>
    <w:p>
      <w:pPr>
        <w:pStyle w:val="21"/>
        <w:numPr>
          <w:ilvl w:val="0"/>
          <w:numId w:val="1"/>
        </w:numPr>
        <w:rPr>
          <w:lang w:eastAsia="zh-CN"/>
        </w:rPr>
      </w:pPr>
      <w:r>
        <w:rPr>
          <w:rFonts w:hint="eastAsia"/>
          <w:lang w:eastAsia="zh-CN"/>
        </w:rPr>
        <w:t>RP-212633 New WID on high power UE (power class 2) for NR FDD band</w:t>
      </w:r>
      <w:r>
        <w:rPr>
          <w:rFonts w:hint="eastAsia"/>
          <w:lang w:val="en-US" w:eastAsia="zh-CN"/>
        </w:rPr>
        <w:t>, RAN#93e</w:t>
      </w:r>
    </w:p>
    <w:p>
      <w:pPr>
        <w:pStyle w:val="21"/>
        <w:numPr>
          <w:ilvl w:val="0"/>
          <w:numId w:val="1"/>
        </w:numPr>
        <w:rPr>
          <w:lang w:eastAsia="zh-CN"/>
        </w:rPr>
      </w:pPr>
      <w:r>
        <w:rPr>
          <w:rFonts w:hint="eastAsia"/>
          <w:lang w:eastAsia="ja-JP"/>
        </w:rPr>
        <w:t>RP-222625 New WID High power UE for FR1 for FDD single band(s) with power class 2</w:t>
      </w:r>
      <w:r>
        <w:rPr>
          <w:lang w:eastAsia="ja-JP"/>
        </w:rPr>
        <w:t>, RAN</w:t>
      </w:r>
      <w:r>
        <w:rPr>
          <w:rFonts w:hint="eastAsia"/>
          <w:lang w:val="en-US" w:eastAsia="zh-CN"/>
        </w:rPr>
        <w:t>#97</w:t>
      </w:r>
      <w:r>
        <w:rPr>
          <w:lang w:eastAsia="ja-JP"/>
        </w:rPr>
        <w:t>e</w:t>
      </w:r>
    </w:p>
    <w:p>
      <w:pPr>
        <w:pStyle w:val="21"/>
        <w:numPr>
          <w:ilvl w:val="0"/>
          <w:numId w:val="1"/>
        </w:numPr>
        <w:rPr>
          <w:lang w:eastAsia="zh-CN"/>
        </w:rPr>
      </w:pPr>
      <w:r>
        <w:rPr>
          <w:rFonts w:hint="eastAsia"/>
          <w:lang w:val="en-US" w:eastAsia="zh-CN"/>
        </w:rPr>
        <w:t>TS38.101-1 User Equipment (UE) radio transmission and reception;Part 1: Range 1 Standalone(Release 18)</w:t>
      </w:r>
    </w:p>
    <w:p>
      <w:pPr>
        <w:pStyle w:val="21"/>
        <w:numPr>
          <w:ilvl w:val="0"/>
          <w:numId w:val="0"/>
        </w:numPr>
        <w:ind w:left="360" w:leftChars="0"/>
        <w:rPr>
          <w:lang w:eastAsia="zh-CN"/>
        </w:rPr>
      </w:pPr>
    </w:p>
    <w:sectPr>
      <w:footnotePr>
        <w:numRestart w:val="eachSect"/>
      </w:footnotePr>
      <w:pgSz w:w="11907" w:h="16840"/>
      <w:pgMar w:top="1418" w:right="1134" w:bottom="1134" w:left="1134" w:header="851"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605DFE"/>
    <w:multiLevelType w:val="multilevel"/>
    <w:tmpl w:val="39605DF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4C82"/>
    <w:rsid w:val="00006413"/>
    <w:rsid w:val="0001013B"/>
    <w:rsid w:val="00017293"/>
    <w:rsid w:val="000221DE"/>
    <w:rsid w:val="000259C9"/>
    <w:rsid w:val="00027393"/>
    <w:rsid w:val="000275FD"/>
    <w:rsid w:val="00030BBE"/>
    <w:rsid w:val="000329EC"/>
    <w:rsid w:val="0003553A"/>
    <w:rsid w:val="000356E9"/>
    <w:rsid w:val="000369D6"/>
    <w:rsid w:val="00042FDC"/>
    <w:rsid w:val="000446CD"/>
    <w:rsid w:val="00047269"/>
    <w:rsid w:val="000519FD"/>
    <w:rsid w:val="000606C4"/>
    <w:rsid w:val="00062044"/>
    <w:rsid w:val="000629FA"/>
    <w:rsid w:val="00072035"/>
    <w:rsid w:val="00073CD8"/>
    <w:rsid w:val="00075087"/>
    <w:rsid w:val="00075135"/>
    <w:rsid w:val="00075D6E"/>
    <w:rsid w:val="0008020C"/>
    <w:rsid w:val="0008439E"/>
    <w:rsid w:val="000850F4"/>
    <w:rsid w:val="000861F8"/>
    <w:rsid w:val="0008788D"/>
    <w:rsid w:val="000902FD"/>
    <w:rsid w:val="00096438"/>
    <w:rsid w:val="000A2272"/>
    <w:rsid w:val="000A33B0"/>
    <w:rsid w:val="000A3E12"/>
    <w:rsid w:val="000A6AB0"/>
    <w:rsid w:val="000B2EA7"/>
    <w:rsid w:val="000C036F"/>
    <w:rsid w:val="000C3038"/>
    <w:rsid w:val="000C392C"/>
    <w:rsid w:val="000C41F9"/>
    <w:rsid w:val="000C43BD"/>
    <w:rsid w:val="000C4992"/>
    <w:rsid w:val="000C7922"/>
    <w:rsid w:val="000D4C52"/>
    <w:rsid w:val="000D506C"/>
    <w:rsid w:val="000D71E1"/>
    <w:rsid w:val="000E37BE"/>
    <w:rsid w:val="000E5300"/>
    <w:rsid w:val="000F0505"/>
    <w:rsid w:val="000F2D11"/>
    <w:rsid w:val="000F5F91"/>
    <w:rsid w:val="000F62EA"/>
    <w:rsid w:val="000F6C41"/>
    <w:rsid w:val="000F77C0"/>
    <w:rsid w:val="000F7DC6"/>
    <w:rsid w:val="001010BA"/>
    <w:rsid w:val="00113ADD"/>
    <w:rsid w:val="00114F98"/>
    <w:rsid w:val="0011594F"/>
    <w:rsid w:val="0011798D"/>
    <w:rsid w:val="00122BAD"/>
    <w:rsid w:val="00124176"/>
    <w:rsid w:val="00125B91"/>
    <w:rsid w:val="00126319"/>
    <w:rsid w:val="00127721"/>
    <w:rsid w:val="00127F45"/>
    <w:rsid w:val="00130C44"/>
    <w:rsid w:val="00135192"/>
    <w:rsid w:val="00141BA0"/>
    <w:rsid w:val="00142027"/>
    <w:rsid w:val="00143B2E"/>
    <w:rsid w:val="00147358"/>
    <w:rsid w:val="00147BE9"/>
    <w:rsid w:val="00151A25"/>
    <w:rsid w:val="00152314"/>
    <w:rsid w:val="00154BD3"/>
    <w:rsid w:val="00157188"/>
    <w:rsid w:val="00157397"/>
    <w:rsid w:val="00157E0B"/>
    <w:rsid w:val="00163B46"/>
    <w:rsid w:val="00175ECD"/>
    <w:rsid w:val="00181D44"/>
    <w:rsid w:val="00183B18"/>
    <w:rsid w:val="001846C1"/>
    <w:rsid w:val="00184D31"/>
    <w:rsid w:val="00185D4F"/>
    <w:rsid w:val="00191B1B"/>
    <w:rsid w:val="00195B6F"/>
    <w:rsid w:val="00196DF1"/>
    <w:rsid w:val="001977C0"/>
    <w:rsid w:val="001A04A1"/>
    <w:rsid w:val="001A77DC"/>
    <w:rsid w:val="001B19DE"/>
    <w:rsid w:val="001B7EBF"/>
    <w:rsid w:val="001C39D8"/>
    <w:rsid w:val="001C74E1"/>
    <w:rsid w:val="001D743A"/>
    <w:rsid w:val="001D7764"/>
    <w:rsid w:val="001D789B"/>
    <w:rsid w:val="001D7C04"/>
    <w:rsid w:val="001E1D94"/>
    <w:rsid w:val="001E3B15"/>
    <w:rsid w:val="001E433F"/>
    <w:rsid w:val="001E4946"/>
    <w:rsid w:val="001E56B6"/>
    <w:rsid w:val="001E65DE"/>
    <w:rsid w:val="001F459A"/>
    <w:rsid w:val="001F47E8"/>
    <w:rsid w:val="001F56E8"/>
    <w:rsid w:val="001F6CD5"/>
    <w:rsid w:val="001F746B"/>
    <w:rsid w:val="001F760E"/>
    <w:rsid w:val="00200E3B"/>
    <w:rsid w:val="002031EA"/>
    <w:rsid w:val="00203D6E"/>
    <w:rsid w:val="00205C2C"/>
    <w:rsid w:val="0020624E"/>
    <w:rsid w:val="002106D3"/>
    <w:rsid w:val="00210E17"/>
    <w:rsid w:val="00215F28"/>
    <w:rsid w:val="00217DA2"/>
    <w:rsid w:val="00221802"/>
    <w:rsid w:val="0022436D"/>
    <w:rsid w:val="00225265"/>
    <w:rsid w:val="00235CA6"/>
    <w:rsid w:val="0024412D"/>
    <w:rsid w:val="00244912"/>
    <w:rsid w:val="00244B91"/>
    <w:rsid w:val="002459CA"/>
    <w:rsid w:val="00247F28"/>
    <w:rsid w:val="00250361"/>
    <w:rsid w:val="00251CAD"/>
    <w:rsid w:val="00254FDE"/>
    <w:rsid w:val="002629FA"/>
    <w:rsid w:val="0026302C"/>
    <w:rsid w:val="00272BF9"/>
    <w:rsid w:val="00273E82"/>
    <w:rsid w:val="002814EC"/>
    <w:rsid w:val="00281F99"/>
    <w:rsid w:val="00282D47"/>
    <w:rsid w:val="0028732C"/>
    <w:rsid w:val="00290D0D"/>
    <w:rsid w:val="002931E0"/>
    <w:rsid w:val="002959F8"/>
    <w:rsid w:val="0029659D"/>
    <w:rsid w:val="00296728"/>
    <w:rsid w:val="002A1AF5"/>
    <w:rsid w:val="002A2C60"/>
    <w:rsid w:val="002A34ED"/>
    <w:rsid w:val="002A52EE"/>
    <w:rsid w:val="002A64F8"/>
    <w:rsid w:val="002B0F50"/>
    <w:rsid w:val="002B1974"/>
    <w:rsid w:val="002B4FD9"/>
    <w:rsid w:val="002B70C4"/>
    <w:rsid w:val="002C350C"/>
    <w:rsid w:val="002C5E16"/>
    <w:rsid w:val="002D016B"/>
    <w:rsid w:val="002D064B"/>
    <w:rsid w:val="002D41BB"/>
    <w:rsid w:val="002D5C9A"/>
    <w:rsid w:val="002E23B0"/>
    <w:rsid w:val="002E6109"/>
    <w:rsid w:val="002E628D"/>
    <w:rsid w:val="002F5FF2"/>
    <w:rsid w:val="002F6E01"/>
    <w:rsid w:val="002F7055"/>
    <w:rsid w:val="002F71D9"/>
    <w:rsid w:val="00300C65"/>
    <w:rsid w:val="00305135"/>
    <w:rsid w:val="00306974"/>
    <w:rsid w:val="00307E3B"/>
    <w:rsid w:val="0031137E"/>
    <w:rsid w:val="00312590"/>
    <w:rsid w:val="00314063"/>
    <w:rsid w:val="0031607C"/>
    <w:rsid w:val="00316557"/>
    <w:rsid w:val="00316C2F"/>
    <w:rsid w:val="003179DE"/>
    <w:rsid w:val="003210C2"/>
    <w:rsid w:val="00322B03"/>
    <w:rsid w:val="003233C6"/>
    <w:rsid w:val="003234B0"/>
    <w:rsid w:val="0032409D"/>
    <w:rsid w:val="00326295"/>
    <w:rsid w:val="00326622"/>
    <w:rsid w:val="0032692A"/>
    <w:rsid w:val="00327046"/>
    <w:rsid w:val="003326CF"/>
    <w:rsid w:val="00336541"/>
    <w:rsid w:val="00341183"/>
    <w:rsid w:val="003416C3"/>
    <w:rsid w:val="00341CC3"/>
    <w:rsid w:val="0034719F"/>
    <w:rsid w:val="00347E48"/>
    <w:rsid w:val="0035065C"/>
    <w:rsid w:val="00350B94"/>
    <w:rsid w:val="00350E92"/>
    <w:rsid w:val="003521FC"/>
    <w:rsid w:val="0035531C"/>
    <w:rsid w:val="00356F72"/>
    <w:rsid w:val="003676DE"/>
    <w:rsid w:val="003746E6"/>
    <w:rsid w:val="00376283"/>
    <w:rsid w:val="003770E4"/>
    <w:rsid w:val="00377190"/>
    <w:rsid w:val="00377C12"/>
    <w:rsid w:val="00380C9E"/>
    <w:rsid w:val="00380EEC"/>
    <w:rsid w:val="00381BAB"/>
    <w:rsid w:val="00382D99"/>
    <w:rsid w:val="0038738F"/>
    <w:rsid w:val="00390FDE"/>
    <w:rsid w:val="0039138D"/>
    <w:rsid w:val="00392ED7"/>
    <w:rsid w:val="00397A98"/>
    <w:rsid w:val="003A18A5"/>
    <w:rsid w:val="003A2294"/>
    <w:rsid w:val="003A4D57"/>
    <w:rsid w:val="003A572E"/>
    <w:rsid w:val="003A7CA5"/>
    <w:rsid w:val="003B0D5F"/>
    <w:rsid w:val="003B11E3"/>
    <w:rsid w:val="003B4B82"/>
    <w:rsid w:val="003C292E"/>
    <w:rsid w:val="003C2B33"/>
    <w:rsid w:val="003C2CA4"/>
    <w:rsid w:val="003C2FFE"/>
    <w:rsid w:val="003C4BD6"/>
    <w:rsid w:val="003C6794"/>
    <w:rsid w:val="003C6B33"/>
    <w:rsid w:val="003C74C4"/>
    <w:rsid w:val="003D0274"/>
    <w:rsid w:val="003D183C"/>
    <w:rsid w:val="003D2548"/>
    <w:rsid w:val="003D2863"/>
    <w:rsid w:val="003D58BC"/>
    <w:rsid w:val="003D6FE1"/>
    <w:rsid w:val="003E099A"/>
    <w:rsid w:val="003F0459"/>
    <w:rsid w:val="003F192C"/>
    <w:rsid w:val="003F25BF"/>
    <w:rsid w:val="003F496D"/>
    <w:rsid w:val="00402438"/>
    <w:rsid w:val="0041121A"/>
    <w:rsid w:val="004166E0"/>
    <w:rsid w:val="00417233"/>
    <w:rsid w:val="004228BB"/>
    <w:rsid w:val="00422A26"/>
    <w:rsid w:val="0042453E"/>
    <w:rsid w:val="004262C6"/>
    <w:rsid w:val="00430F81"/>
    <w:rsid w:val="00431E3D"/>
    <w:rsid w:val="00436526"/>
    <w:rsid w:val="00436EA0"/>
    <w:rsid w:val="00440B78"/>
    <w:rsid w:val="0044170D"/>
    <w:rsid w:val="00442061"/>
    <w:rsid w:val="00443B57"/>
    <w:rsid w:val="0044416E"/>
    <w:rsid w:val="00444F05"/>
    <w:rsid w:val="004458E8"/>
    <w:rsid w:val="00446117"/>
    <w:rsid w:val="00446C7C"/>
    <w:rsid w:val="00447EB8"/>
    <w:rsid w:val="0045028D"/>
    <w:rsid w:val="004509A8"/>
    <w:rsid w:val="0045233F"/>
    <w:rsid w:val="00452FDD"/>
    <w:rsid w:val="00453C07"/>
    <w:rsid w:val="00456AC5"/>
    <w:rsid w:val="00462488"/>
    <w:rsid w:val="004656C2"/>
    <w:rsid w:val="00466E71"/>
    <w:rsid w:val="00466EB9"/>
    <w:rsid w:val="00467616"/>
    <w:rsid w:val="00470A65"/>
    <w:rsid w:val="00476D0B"/>
    <w:rsid w:val="00480B49"/>
    <w:rsid w:val="00481360"/>
    <w:rsid w:val="00483140"/>
    <w:rsid w:val="00483964"/>
    <w:rsid w:val="00486DD2"/>
    <w:rsid w:val="0048737C"/>
    <w:rsid w:val="004921E9"/>
    <w:rsid w:val="00492BEB"/>
    <w:rsid w:val="004948EE"/>
    <w:rsid w:val="00496097"/>
    <w:rsid w:val="00497489"/>
    <w:rsid w:val="004A0964"/>
    <w:rsid w:val="004A0C87"/>
    <w:rsid w:val="004A7D04"/>
    <w:rsid w:val="004C0F31"/>
    <w:rsid w:val="004C5FE4"/>
    <w:rsid w:val="004D15A7"/>
    <w:rsid w:val="004D75FF"/>
    <w:rsid w:val="004E0FA9"/>
    <w:rsid w:val="004E10AB"/>
    <w:rsid w:val="004E37BD"/>
    <w:rsid w:val="004E6EC6"/>
    <w:rsid w:val="004F2B3F"/>
    <w:rsid w:val="004F2D0E"/>
    <w:rsid w:val="004F7E7A"/>
    <w:rsid w:val="00500A63"/>
    <w:rsid w:val="00501B59"/>
    <w:rsid w:val="00505D2C"/>
    <w:rsid w:val="005105C6"/>
    <w:rsid w:val="0051340B"/>
    <w:rsid w:val="00513FC6"/>
    <w:rsid w:val="00514F67"/>
    <w:rsid w:val="00516EC9"/>
    <w:rsid w:val="00520CA0"/>
    <w:rsid w:val="00531F9C"/>
    <w:rsid w:val="00532106"/>
    <w:rsid w:val="0053433A"/>
    <w:rsid w:val="00536D8C"/>
    <w:rsid w:val="00537B86"/>
    <w:rsid w:val="00543F98"/>
    <w:rsid w:val="0054418D"/>
    <w:rsid w:val="00544613"/>
    <w:rsid w:val="00544B9E"/>
    <w:rsid w:val="00546EB2"/>
    <w:rsid w:val="005515C7"/>
    <w:rsid w:val="00554D7D"/>
    <w:rsid w:val="00560A21"/>
    <w:rsid w:val="00560E38"/>
    <w:rsid w:val="00563481"/>
    <w:rsid w:val="00564A49"/>
    <w:rsid w:val="005673C0"/>
    <w:rsid w:val="0057270E"/>
    <w:rsid w:val="0057397C"/>
    <w:rsid w:val="00575DA3"/>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3261"/>
    <w:rsid w:val="005B52AC"/>
    <w:rsid w:val="005B64A0"/>
    <w:rsid w:val="005B78BC"/>
    <w:rsid w:val="005C15C6"/>
    <w:rsid w:val="005C1B55"/>
    <w:rsid w:val="005C4DAF"/>
    <w:rsid w:val="005C4F1F"/>
    <w:rsid w:val="005C595A"/>
    <w:rsid w:val="005D53A4"/>
    <w:rsid w:val="005D6A1E"/>
    <w:rsid w:val="005E145E"/>
    <w:rsid w:val="005E1C64"/>
    <w:rsid w:val="005E1D4B"/>
    <w:rsid w:val="005E5487"/>
    <w:rsid w:val="005F0437"/>
    <w:rsid w:val="005F059A"/>
    <w:rsid w:val="005F0DFA"/>
    <w:rsid w:val="005F3A5E"/>
    <w:rsid w:val="005F601C"/>
    <w:rsid w:val="005F676F"/>
    <w:rsid w:val="005F6E25"/>
    <w:rsid w:val="005F73C0"/>
    <w:rsid w:val="005F75EC"/>
    <w:rsid w:val="00601B18"/>
    <w:rsid w:val="00605E03"/>
    <w:rsid w:val="006104E9"/>
    <w:rsid w:val="00614729"/>
    <w:rsid w:val="00614E2E"/>
    <w:rsid w:val="00616CCC"/>
    <w:rsid w:val="00617851"/>
    <w:rsid w:val="006179BD"/>
    <w:rsid w:val="00617B32"/>
    <w:rsid w:val="00623F57"/>
    <w:rsid w:val="006254B6"/>
    <w:rsid w:val="00627BD9"/>
    <w:rsid w:val="00627D0A"/>
    <w:rsid w:val="00627FE1"/>
    <w:rsid w:val="0063230B"/>
    <w:rsid w:val="0063504F"/>
    <w:rsid w:val="00635E7E"/>
    <w:rsid w:val="00641F2E"/>
    <w:rsid w:val="006440D1"/>
    <w:rsid w:val="00644DFB"/>
    <w:rsid w:val="00645D36"/>
    <w:rsid w:val="00645E45"/>
    <w:rsid w:val="00646403"/>
    <w:rsid w:val="006466F3"/>
    <w:rsid w:val="00651871"/>
    <w:rsid w:val="00654DB4"/>
    <w:rsid w:val="00656C39"/>
    <w:rsid w:val="006617D9"/>
    <w:rsid w:val="0066204F"/>
    <w:rsid w:val="006638CD"/>
    <w:rsid w:val="00665F16"/>
    <w:rsid w:val="00667628"/>
    <w:rsid w:val="0067253D"/>
    <w:rsid w:val="0067304C"/>
    <w:rsid w:val="00674499"/>
    <w:rsid w:val="00677EDA"/>
    <w:rsid w:val="00685BD0"/>
    <w:rsid w:val="00692C04"/>
    <w:rsid w:val="00693733"/>
    <w:rsid w:val="0069437D"/>
    <w:rsid w:val="006952E4"/>
    <w:rsid w:val="006A0809"/>
    <w:rsid w:val="006A0D80"/>
    <w:rsid w:val="006A416C"/>
    <w:rsid w:val="006A7976"/>
    <w:rsid w:val="006A7B39"/>
    <w:rsid w:val="006B1927"/>
    <w:rsid w:val="006B666A"/>
    <w:rsid w:val="006B7A26"/>
    <w:rsid w:val="006C2377"/>
    <w:rsid w:val="006C3DC0"/>
    <w:rsid w:val="006C42A3"/>
    <w:rsid w:val="006C656B"/>
    <w:rsid w:val="006D081A"/>
    <w:rsid w:val="006D2773"/>
    <w:rsid w:val="006D458F"/>
    <w:rsid w:val="006D48FD"/>
    <w:rsid w:val="006D5B1C"/>
    <w:rsid w:val="006D7E9E"/>
    <w:rsid w:val="006E0F84"/>
    <w:rsid w:val="006E16BF"/>
    <w:rsid w:val="006E1913"/>
    <w:rsid w:val="006E2890"/>
    <w:rsid w:val="006E2A48"/>
    <w:rsid w:val="006E61B2"/>
    <w:rsid w:val="006F1CA3"/>
    <w:rsid w:val="006F5B48"/>
    <w:rsid w:val="00700848"/>
    <w:rsid w:val="007011A2"/>
    <w:rsid w:val="00711A8E"/>
    <w:rsid w:val="00713CE6"/>
    <w:rsid w:val="0071550F"/>
    <w:rsid w:val="00716643"/>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479CB"/>
    <w:rsid w:val="007508F4"/>
    <w:rsid w:val="00750B04"/>
    <w:rsid w:val="007534B7"/>
    <w:rsid w:val="00754B55"/>
    <w:rsid w:val="00754E5A"/>
    <w:rsid w:val="007562C9"/>
    <w:rsid w:val="007608F0"/>
    <w:rsid w:val="0076270C"/>
    <w:rsid w:val="00764790"/>
    <w:rsid w:val="00766434"/>
    <w:rsid w:val="0077464A"/>
    <w:rsid w:val="00776291"/>
    <w:rsid w:val="00777712"/>
    <w:rsid w:val="00777BA1"/>
    <w:rsid w:val="007813FF"/>
    <w:rsid w:val="00781A7A"/>
    <w:rsid w:val="00781C1A"/>
    <w:rsid w:val="007833FF"/>
    <w:rsid w:val="0078390C"/>
    <w:rsid w:val="0078412F"/>
    <w:rsid w:val="00792827"/>
    <w:rsid w:val="007949EB"/>
    <w:rsid w:val="00795B9A"/>
    <w:rsid w:val="0079771D"/>
    <w:rsid w:val="007979E8"/>
    <w:rsid w:val="007A53EF"/>
    <w:rsid w:val="007A565F"/>
    <w:rsid w:val="007A6D44"/>
    <w:rsid w:val="007B0864"/>
    <w:rsid w:val="007B26A7"/>
    <w:rsid w:val="007B2D98"/>
    <w:rsid w:val="007B70FC"/>
    <w:rsid w:val="007B729A"/>
    <w:rsid w:val="007C67AF"/>
    <w:rsid w:val="007D20A4"/>
    <w:rsid w:val="007D6A7F"/>
    <w:rsid w:val="007E70BA"/>
    <w:rsid w:val="007F17D2"/>
    <w:rsid w:val="007F22B9"/>
    <w:rsid w:val="007F65B1"/>
    <w:rsid w:val="007F7DD8"/>
    <w:rsid w:val="00801F3D"/>
    <w:rsid w:val="008024A8"/>
    <w:rsid w:val="00802BCD"/>
    <w:rsid w:val="0080593F"/>
    <w:rsid w:val="008112E7"/>
    <w:rsid w:val="00820B7D"/>
    <w:rsid w:val="00823FF2"/>
    <w:rsid w:val="008259F4"/>
    <w:rsid w:val="00826304"/>
    <w:rsid w:val="00826369"/>
    <w:rsid w:val="00831FE5"/>
    <w:rsid w:val="008327B0"/>
    <w:rsid w:val="00835A99"/>
    <w:rsid w:val="00835CD8"/>
    <w:rsid w:val="00836D6F"/>
    <w:rsid w:val="00842AE0"/>
    <w:rsid w:val="008555AC"/>
    <w:rsid w:val="00856712"/>
    <w:rsid w:val="0085704B"/>
    <w:rsid w:val="0086032C"/>
    <w:rsid w:val="00861EBB"/>
    <w:rsid w:val="008625ED"/>
    <w:rsid w:val="0086508F"/>
    <w:rsid w:val="0086526E"/>
    <w:rsid w:val="00867EC5"/>
    <w:rsid w:val="00874047"/>
    <w:rsid w:val="00874750"/>
    <w:rsid w:val="008768E1"/>
    <w:rsid w:val="0088214A"/>
    <w:rsid w:val="008862C4"/>
    <w:rsid w:val="0088648D"/>
    <w:rsid w:val="008901AC"/>
    <w:rsid w:val="00892C17"/>
    <w:rsid w:val="00893D2F"/>
    <w:rsid w:val="00895A5B"/>
    <w:rsid w:val="0089654D"/>
    <w:rsid w:val="0089701D"/>
    <w:rsid w:val="008A04CE"/>
    <w:rsid w:val="008A20A2"/>
    <w:rsid w:val="008B2BD5"/>
    <w:rsid w:val="008B3907"/>
    <w:rsid w:val="008C0208"/>
    <w:rsid w:val="008C1D06"/>
    <w:rsid w:val="008C470E"/>
    <w:rsid w:val="008D0F70"/>
    <w:rsid w:val="008D1495"/>
    <w:rsid w:val="008D1EFE"/>
    <w:rsid w:val="008D2D90"/>
    <w:rsid w:val="008D2F99"/>
    <w:rsid w:val="008E1AFE"/>
    <w:rsid w:val="008E326C"/>
    <w:rsid w:val="008E7DEC"/>
    <w:rsid w:val="0090047A"/>
    <w:rsid w:val="00901C2D"/>
    <w:rsid w:val="009046F3"/>
    <w:rsid w:val="009072E3"/>
    <w:rsid w:val="009103E1"/>
    <w:rsid w:val="00913179"/>
    <w:rsid w:val="00914E26"/>
    <w:rsid w:val="0092430B"/>
    <w:rsid w:val="00934C7C"/>
    <w:rsid w:val="00934EB2"/>
    <w:rsid w:val="00940F4F"/>
    <w:rsid w:val="009434D1"/>
    <w:rsid w:val="009446C0"/>
    <w:rsid w:val="00944A38"/>
    <w:rsid w:val="00945A8A"/>
    <w:rsid w:val="00947C41"/>
    <w:rsid w:val="009501E7"/>
    <w:rsid w:val="009533AD"/>
    <w:rsid w:val="00954DF5"/>
    <w:rsid w:val="00964545"/>
    <w:rsid w:val="00965724"/>
    <w:rsid w:val="00966101"/>
    <w:rsid w:val="009708CE"/>
    <w:rsid w:val="00972363"/>
    <w:rsid w:val="00977A11"/>
    <w:rsid w:val="0098640F"/>
    <w:rsid w:val="00987E9C"/>
    <w:rsid w:val="009948F4"/>
    <w:rsid w:val="00994DE7"/>
    <w:rsid w:val="00996E44"/>
    <w:rsid w:val="00996FAB"/>
    <w:rsid w:val="00997646"/>
    <w:rsid w:val="009A3F54"/>
    <w:rsid w:val="009A4A15"/>
    <w:rsid w:val="009A7CFB"/>
    <w:rsid w:val="009B0655"/>
    <w:rsid w:val="009B2207"/>
    <w:rsid w:val="009B23B8"/>
    <w:rsid w:val="009B3F8F"/>
    <w:rsid w:val="009B5865"/>
    <w:rsid w:val="009C2145"/>
    <w:rsid w:val="009C392C"/>
    <w:rsid w:val="009C6075"/>
    <w:rsid w:val="009C6411"/>
    <w:rsid w:val="009C71DC"/>
    <w:rsid w:val="009C7972"/>
    <w:rsid w:val="009C7B89"/>
    <w:rsid w:val="009D14E2"/>
    <w:rsid w:val="009D2B34"/>
    <w:rsid w:val="009D316D"/>
    <w:rsid w:val="009D40A0"/>
    <w:rsid w:val="009D6F98"/>
    <w:rsid w:val="009E154A"/>
    <w:rsid w:val="009E41DD"/>
    <w:rsid w:val="009E57F5"/>
    <w:rsid w:val="009E7475"/>
    <w:rsid w:val="009F1C3A"/>
    <w:rsid w:val="009F263C"/>
    <w:rsid w:val="009F52D6"/>
    <w:rsid w:val="009F65F6"/>
    <w:rsid w:val="009F6981"/>
    <w:rsid w:val="00A009C0"/>
    <w:rsid w:val="00A011E7"/>
    <w:rsid w:val="00A060CD"/>
    <w:rsid w:val="00A06C24"/>
    <w:rsid w:val="00A10271"/>
    <w:rsid w:val="00A11167"/>
    <w:rsid w:val="00A1184F"/>
    <w:rsid w:val="00A163B0"/>
    <w:rsid w:val="00A21582"/>
    <w:rsid w:val="00A21E7D"/>
    <w:rsid w:val="00A233D8"/>
    <w:rsid w:val="00A23F88"/>
    <w:rsid w:val="00A2570B"/>
    <w:rsid w:val="00A30487"/>
    <w:rsid w:val="00A310A3"/>
    <w:rsid w:val="00A3772D"/>
    <w:rsid w:val="00A40778"/>
    <w:rsid w:val="00A407DB"/>
    <w:rsid w:val="00A41F50"/>
    <w:rsid w:val="00A43A68"/>
    <w:rsid w:val="00A471D8"/>
    <w:rsid w:val="00A47786"/>
    <w:rsid w:val="00A527CE"/>
    <w:rsid w:val="00A533A9"/>
    <w:rsid w:val="00A537A4"/>
    <w:rsid w:val="00A56FE6"/>
    <w:rsid w:val="00A6101C"/>
    <w:rsid w:val="00A64570"/>
    <w:rsid w:val="00A65352"/>
    <w:rsid w:val="00A66379"/>
    <w:rsid w:val="00A66E38"/>
    <w:rsid w:val="00A7244D"/>
    <w:rsid w:val="00A73D61"/>
    <w:rsid w:val="00A742AC"/>
    <w:rsid w:val="00A74E93"/>
    <w:rsid w:val="00A76333"/>
    <w:rsid w:val="00A77079"/>
    <w:rsid w:val="00A776CE"/>
    <w:rsid w:val="00A83EA7"/>
    <w:rsid w:val="00A853FB"/>
    <w:rsid w:val="00A85449"/>
    <w:rsid w:val="00A85E93"/>
    <w:rsid w:val="00A8654A"/>
    <w:rsid w:val="00A8678C"/>
    <w:rsid w:val="00A869AA"/>
    <w:rsid w:val="00A97635"/>
    <w:rsid w:val="00AB1F46"/>
    <w:rsid w:val="00AB26C3"/>
    <w:rsid w:val="00AB3E90"/>
    <w:rsid w:val="00AB4AA9"/>
    <w:rsid w:val="00AB6548"/>
    <w:rsid w:val="00AB6661"/>
    <w:rsid w:val="00AC13A3"/>
    <w:rsid w:val="00AC458E"/>
    <w:rsid w:val="00AC58FB"/>
    <w:rsid w:val="00AC5C5D"/>
    <w:rsid w:val="00AC62C5"/>
    <w:rsid w:val="00AC753A"/>
    <w:rsid w:val="00AC7BB0"/>
    <w:rsid w:val="00AD0F8D"/>
    <w:rsid w:val="00AD2052"/>
    <w:rsid w:val="00AD21F9"/>
    <w:rsid w:val="00AD5CF8"/>
    <w:rsid w:val="00AE273A"/>
    <w:rsid w:val="00AE2AC6"/>
    <w:rsid w:val="00AE4018"/>
    <w:rsid w:val="00AE62E1"/>
    <w:rsid w:val="00AF0088"/>
    <w:rsid w:val="00AF0D90"/>
    <w:rsid w:val="00AF17A3"/>
    <w:rsid w:val="00AF524A"/>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2039"/>
    <w:rsid w:val="00B229EE"/>
    <w:rsid w:val="00B24720"/>
    <w:rsid w:val="00B24F6B"/>
    <w:rsid w:val="00B26813"/>
    <w:rsid w:val="00B27456"/>
    <w:rsid w:val="00B3127C"/>
    <w:rsid w:val="00B323DA"/>
    <w:rsid w:val="00B330B0"/>
    <w:rsid w:val="00B3380D"/>
    <w:rsid w:val="00B3450A"/>
    <w:rsid w:val="00B35023"/>
    <w:rsid w:val="00B35A7F"/>
    <w:rsid w:val="00B44ECF"/>
    <w:rsid w:val="00B45E73"/>
    <w:rsid w:val="00B460E6"/>
    <w:rsid w:val="00B47B6E"/>
    <w:rsid w:val="00B505C8"/>
    <w:rsid w:val="00B52A46"/>
    <w:rsid w:val="00B534E2"/>
    <w:rsid w:val="00B541C3"/>
    <w:rsid w:val="00B55B72"/>
    <w:rsid w:val="00B55C46"/>
    <w:rsid w:val="00B566B6"/>
    <w:rsid w:val="00B60DF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35C0"/>
    <w:rsid w:val="00B94815"/>
    <w:rsid w:val="00B94B9A"/>
    <w:rsid w:val="00B96585"/>
    <w:rsid w:val="00BA14B2"/>
    <w:rsid w:val="00BA45CB"/>
    <w:rsid w:val="00BB5118"/>
    <w:rsid w:val="00BB62AD"/>
    <w:rsid w:val="00BB7240"/>
    <w:rsid w:val="00BC344E"/>
    <w:rsid w:val="00BC581D"/>
    <w:rsid w:val="00BC69BC"/>
    <w:rsid w:val="00BC7454"/>
    <w:rsid w:val="00BD3A66"/>
    <w:rsid w:val="00BD588E"/>
    <w:rsid w:val="00BD6052"/>
    <w:rsid w:val="00BD6D45"/>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2A55"/>
    <w:rsid w:val="00C04BFD"/>
    <w:rsid w:val="00C1104B"/>
    <w:rsid w:val="00C12B9D"/>
    <w:rsid w:val="00C157AC"/>
    <w:rsid w:val="00C16D7A"/>
    <w:rsid w:val="00C22C53"/>
    <w:rsid w:val="00C26AB9"/>
    <w:rsid w:val="00C315D0"/>
    <w:rsid w:val="00C31A00"/>
    <w:rsid w:val="00C32A99"/>
    <w:rsid w:val="00C37BA8"/>
    <w:rsid w:val="00C445F2"/>
    <w:rsid w:val="00C52038"/>
    <w:rsid w:val="00C53166"/>
    <w:rsid w:val="00C5327F"/>
    <w:rsid w:val="00C578D1"/>
    <w:rsid w:val="00C578F8"/>
    <w:rsid w:val="00C6299C"/>
    <w:rsid w:val="00C64865"/>
    <w:rsid w:val="00C651BE"/>
    <w:rsid w:val="00C7109A"/>
    <w:rsid w:val="00C75C28"/>
    <w:rsid w:val="00C769EE"/>
    <w:rsid w:val="00C80468"/>
    <w:rsid w:val="00C80A64"/>
    <w:rsid w:val="00C842E7"/>
    <w:rsid w:val="00C86E43"/>
    <w:rsid w:val="00C87C95"/>
    <w:rsid w:val="00C921CA"/>
    <w:rsid w:val="00CA0359"/>
    <w:rsid w:val="00CA0B2F"/>
    <w:rsid w:val="00CA1A25"/>
    <w:rsid w:val="00CA2E08"/>
    <w:rsid w:val="00CA3517"/>
    <w:rsid w:val="00CA37E0"/>
    <w:rsid w:val="00CA4A25"/>
    <w:rsid w:val="00CA51E7"/>
    <w:rsid w:val="00CA5582"/>
    <w:rsid w:val="00CA632C"/>
    <w:rsid w:val="00CB1655"/>
    <w:rsid w:val="00CB1E05"/>
    <w:rsid w:val="00CB27D1"/>
    <w:rsid w:val="00CB331D"/>
    <w:rsid w:val="00CB4C2C"/>
    <w:rsid w:val="00CB6814"/>
    <w:rsid w:val="00CB695F"/>
    <w:rsid w:val="00CC02BD"/>
    <w:rsid w:val="00CC10CD"/>
    <w:rsid w:val="00CC57B7"/>
    <w:rsid w:val="00CC62C5"/>
    <w:rsid w:val="00CD1A80"/>
    <w:rsid w:val="00CD1F7B"/>
    <w:rsid w:val="00CD2ADE"/>
    <w:rsid w:val="00CD35D8"/>
    <w:rsid w:val="00CD5F34"/>
    <w:rsid w:val="00CD73B6"/>
    <w:rsid w:val="00CE0AC0"/>
    <w:rsid w:val="00CE0E41"/>
    <w:rsid w:val="00CE49DF"/>
    <w:rsid w:val="00CE51A4"/>
    <w:rsid w:val="00CF0341"/>
    <w:rsid w:val="00CF5CB0"/>
    <w:rsid w:val="00CF69C2"/>
    <w:rsid w:val="00D0059C"/>
    <w:rsid w:val="00D0160A"/>
    <w:rsid w:val="00D04ED9"/>
    <w:rsid w:val="00D1056B"/>
    <w:rsid w:val="00D10FB1"/>
    <w:rsid w:val="00D11163"/>
    <w:rsid w:val="00D11389"/>
    <w:rsid w:val="00D157C2"/>
    <w:rsid w:val="00D17990"/>
    <w:rsid w:val="00D2127D"/>
    <w:rsid w:val="00D24959"/>
    <w:rsid w:val="00D31582"/>
    <w:rsid w:val="00D36102"/>
    <w:rsid w:val="00D36274"/>
    <w:rsid w:val="00D40CB2"/>
    <w:rsid w:val="00D43F80"/>
    <w:rsid w:val="00D44A64"/>
    <w:rsid w:val="00D44DCA"/>
    <w:rsid w:val="00D5117A"/>
    <w:rsid w:val="00D553E9"/>
    <w:rsid w:val="00D55573"/>
    <w:rsid w:val="00D57497"/>
    <w:rsid w:val="00D621FD"/>
    <w:rsid w:val="00D62636"/>
    <w:rsid w:val="00D629AD"/>
    <w:rsid w:val="00D63455"/>
    <w:rsid w:val="00D65DC6"/>
    <w:rsid w:val="00D66EA2"/>
    <w:rsid w:val="00D70503"/>
    <w:rsid w:val="00D70E04"/>
    <w:rsid w:val="00D714A3"/>
    <w:rsid w:val="00D75CB4"/>
    <w:rsid w:val="00D7722D"/>
    <w:rsid w:val="00D772BD"/>
    <w:rsid w:val="00D774CD"/>
    <w:rsid w:val="00D80D9E"/>
    <w:rsid w:val="00D82176"/>
    <w:rsid w:val="00D8230F"/>
    <w:rsid w:val="00D86505"/>
    <w:rsid w:val="00D86728"/>
    <w:rsid w:val="00D90F29"/>
    <w:rsid w:val="00D91657"/>
    <w:rsid w:val="00D91B37"/>
    <w:rsid w:val="00D97CA3"/>
    <w:rsid w:val="00DA3B2F"/>
    <w:rsid w:val="00DA47C6"/>
    <w:rsid w:val="00DA5244"/>
    <w:rsid w:val="00DA686B"/>
    <w:rsid w:val="00DB03E1"/>
    <w:rsid w:val="00DB4C8C"/>
    <w:rsid w:val="00DB51F9"/>
    <w:rsid w:val="00DC45BA"/>
    <w:rsid w:val="00DC7C14"/>
    <w:rsid w:val="00DD0D62"/>
    <w:rsid w:val="00DD18AD"/>
    <w:rsid w:val="00DE13AF"/>
    <w:rsid w:val="00DE3E24"/>
    <w:rsid w:val="00DE6996"/>
    <w:rsid w:val="00DE721D"/>
    <w:rsid w:val="00DE7D1B"/>
    <w:rsid w:val="00DF04CB"/>
    <w:rsid w:val="00E00C13"/>
    <w:rsid w:val="00E016F6"/>
    <w:rsid w:val="00E02428"/>
    <w:rsid w:val="00E06987"/>
    <w:rsid w:val="00E10B52"/>
    <w:rsid w:val="00E11774"/>
    <w:rsid w:val="00E11AC2"/>
    <w:rsid w:val="00E12E7B"/>
    <w:rsid w:val="00E131E4"/>
    <w:rsid w:val="00E176DD"/>
    <w:rsid w:val="00E1790B"/>
    <w:rsid w:val="00E20439"/>
    <w:rsid w:val="00E207BC"/>
    <w:rsid w:val="00E210AB"/>
    <w:rsid w:val="00E215BB"/>
    <w:rsid w:val="00E22ACF"/>
    <w:rsid w:val="00E276F0"/>
    <w:rsid w:val="00E30603"/>
    <w:rsid w:val="00E30A5A"/>
    <w:rsid w:val="00E33B48"/>
    <w:rsid w:val="00E36556"/>
    <w:rsid w:val="00E36FC5"/>
    <w:rsid w:val="00E415C8"/>
    <w:rsid w:val="00E42CD1"/>
    <w:rsid w:val="00E44BC0"/>
    <w:rsid w:val="00E5064D"/>
    <w:rsid w:val="00E54E29"/>
    <w:rsid w:val="00E64007"/>
    <w:rsid w:val="00E64E4F"/>
    <w:rsid w:val="00E65804"/>
    <w:rsid w:val="00E665C4"/>
    <w:rsid w:val="00E769FE"/>
    <w:rsid w:val="00E7702A"/>
    <w:rsid w:val="00E827EA"/>
    <w:rsid w:val="00E85837"/>
    <w:rsid w:val="00E859ED"/>
    <w:rsid w:val="00E8709A"/>
    <w:rsid w:val="00E87151"/>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D8B"/>
    <w:rsid w:val="00EB6E3F"/>
    <w:rsid w:val="00EC2893"/>
    <w:rsid w:val="00EC2A51"/>
    <w:rsid w:val="00EC4E06"/>
    <w:rsid w:val="00EC5C7D"/>
    <w:rsid w:val="00EC61CF"/>
    <w:rsid w:val="00EC6337"/>
    <w:rsid w:val="00EC7A70"/>
    <w:rsid w:val="00ED1D21"/>
    <w:rsid w:val="00ED24FF"/>
    <w:rsid w:val="00ED2CB2"/>
    <w:rsid w:val="00ED4D73"/>
    <w:rsid w:val="00ED64B6"/>
    <w:rsid w:val="00ED6BCF"/>
    <w:rsid w:val="00EE0C5D"/>
    <w:rsid w:val="00EE498C"/>
    <w:rsid w:val="00EE51DD"/>
    <w:rsid w:val="00EF178D"/>
    <w:rsid w:val="00EF195D"/>
    <w:rsid w:val="00EF3484"/>
    <w:rsid w:val="00EF3D59"/>
    <w:rsid w:val="00EF54BF"/>
    <w:rsid w:val="00EF7AC9"/>
    <w:rsid w:val="00F0036C"/>
    <w:rsid w:val="00F02DB8"/>
    <w:rsid w:val="00F04D32"/>
    <w:rsid w:val="00F114D8"/>
    <w:rsid w:val="00F13643"/>
    <w:rsid w:val="00F14F04"/>
    <w:rsid w:val="00F179A7"/>
    <w:rsid w:val="00F17FDF"/>
    <w:rsid w:val="00F21522"/>
    <w:rsid w:val="00F22559"/>
    <w:rsid w:val="00F227D1"/>
    <w:rsid w:val="00F23169"/>
    <w:rsid w:val="00F260A0"/>
    <w:rsid w:val="00F35612"/>
    <w:rsid w:val="00F37321"/>
    <w:rsid w:val="00F37E5A"/>
    <w:rsid w:val="00F41B54"/>
    <w:rsid w:val="00F502D0"/>
    <w:rsid w:val="00F50E21"/>
    <w:rsid w:val="00F517CB"/>
    <w:rsid w:val="00F5204A"/>
    <w:rsid w:val="00F53CD2"/>
    <w:rsid w:val="00F54C0B"/>
    <w:rsid w:val="00F553CA"/>
    <w:rsid w:val="00F5716A"/>
    <w:rsid w:val="00F57FD9"/>
    <w:rsid w:val="00F60EF9"/>
    <w:rsid w:val="00F618FA"/>
    <w:rsid w:val="00F646F1"/>
    <w:rsid w:val="00F64FA7"/>
    <w:rsid w:val="00F67866"/>
    <w:rsid w:val="00F73B5B"/>
    <w:rsid w:val="00F7439F"/>
    <w:rsid w:val="00F755CE"/>
    <w:rsid w:val="00F77C25"/>
    <w:rsid w:val="00F81BE8"/>
    <w:rsid w:val="00F830B3"/>
    <w:rsid w:val="00F83946"/>
    <w:rsid w:val="00F843E3"/>
    <w:rsid w:val="00F8454B"/>
    <w:rsid w:val="00F84DD3"/>
    <w:rsid w:val="00F85B88"/>
    <w:rsid w:val="00F96205"/>
    <w:rsid w:val="00FA070C"/>
    <w:rsid w:val="00FA20B6"/>
    <w:rsid w:val="00FA38C0"/>
    <w:rsid w:val="00FA5807"/>
    <w:rsid w:val="00FA6477"/>
    <w:rsid w:val="00FA7103"/>
    <w:rsid w:val="00FA7F42"/>
    <w:rsid w:val="00FB0686"/>
    <w:rsid w:val="00FB1E71"/>
    <w:rsid w:val="00FB2466"/>
    <w:rsid w:val="00FB3570"/>
    <w:rsid w:val="00FB63DC"/>
    <w:rsid w:val="00FB7A64"/>
    <w:rsid w:val="00FC2131"/>
    <w:rsid w:val="00FC6325"/>
    <w:rsid w:val="00FC799A"/>
    <w:rsid w:val="00FD0ABE"/>
    <w:rsid w:val="00FD1E2F"/>
    <w:rsid w:val="00FD444B"/>
    <w:rsid w:val="00FD4BC0"/>
    <w:rsid w:val="00FD6538"/>
    <w:rsid w:val="00FD6B8D"/>
    <w:rsid w:val="00FD7884"/>
    <w:rsid w:val="00FE088B"/>
    <w:rsid w:val="00FE2FF6"/>
    <w:rsid w:val="00FE3B8E"/>
    <w:rsid w:val="00FE444D"/>
    <w:rsid w:val="00FE499E"/>
    <w:rsid w:val="00FE7D54"/>
    <w:rsid w:val="00FF009A"/>
    <w:rsid w:val="00FF7C1E"/>
    <w:rsid w:val="04C13BE0"/>
    <w:rsid w:val="06554884"/>
    <w:rsid w:val="078C499B"/>
    <w:rsid w:val="08270AE0"/>
    <w:rsid w:val="198950DF"/>
    <w:rsid w:val="1ADC0670"/>
    <w:rsid w:val="1CAF1B22"/>
    <w:rsid w:val="214C3839"/>
    <w:rsid w:val="24AE77F9"/>
    <w:rsid w:val="27102AA5"/>
    <w:rsid w:val="2C4B2AE3"/>
    <w:rsid w:val="2C786CAD"/>
    <w:rsid w:val="3F2525D9"/>
    <w:rsid w:val="41EA2E34"/>
    <w:rsid w:val="44974026"/>
    <w:rsid w:val="44B77EA1"/>
    <w:rsid w:val="463C6859"/>
    <w:rsid w:val="4F1F0AA1"/>
    <w:rsid w:val="54353A51"/>
    <w:rsid w:val="5C9A3720"/>
    <w:rsid w:val="66A0406D"/>
    <w:rsid w:val="68234CFD"/>
    <w:rsid w:val="6E655F2D"/>
    <w:rsid w:val="710B4F07"/>
    <w:rsid w:val="75970F98"/>
    <w:rsid w:val="79B53E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40" w:lineRule="auto"/>
    </w:pPr>
    <w:rPr>
      <w:rFonts w:ascii="Times New Roman" w:hAnsi="Times New Roman" w:cs="Times New Roman" w:eastAsiaTheme="minorEastAsia"/>
      <w:sz w:val="20"/>
      <w:szCs w:val="20"/>
      <w:lang w:val="en-GB" w:eastAsia="en-US" w:bidi="ar-SA"/>
    </w:rPr>
  </w:style>
  <w:style w:type="paragraph" w:styleId="2">
    <w:name w:val="heading 1"/>
    <w:next w:val="1"/>
    <w:link w:val="18"/>
    <w:qFormat/>
    <w:uiPriority w:val="0"/>
    <w:pPr>
      <w:keepNext/>
      <w:keepLines/>
      <w:pBdr>
        <w:top w:val="single" w:color="auto" w:sz="12" w:space="3"/>
      </w:pBdr>
      <w:spacing w:before="240" w:after="180" w:line="240" w:lineRule="auto"/>
      <w:ind w:left="1134" w:hanging="1134"/>
      <w:outlineLvl w:val="0"/>
    </w:pPr>
    <w:rPr>
      <w:rFonts w:ascii="Arial" w:hAnsi="Arial" w:cs="Times New Roman" w:eastAsiaTheme="minorEastAsia"/>
      <w:sz w:val="36"/>
      <w:szCs w:val="20"/>
      <w:lang w:val="en-GB" w:eastAsia="en-US" w:bidi="ar-SA"/>
    </w:rPr>
  </w:style>
  <w:style w:type="paragraph" w:styleId="3">
    <w:name w:val="heading 2"/>
    <w:basedOn w:val="2"/>
    <w:next w:val="1"/>
    <w:link w:val="19"/>
    <w:qFormat/>
    <w:uiPriority w:val="0"/>
    <w:pPr>
      <w:pBdr>
        <w:top w:val="none" w:color="auto" w:sz="0" w:space="0"/>
      </w:pBdr>
      <w:spacing w:before="180"/>
      <w:outlineLvl w:val="1"/>
    </w:pPr>
    <w:rPr>
      <w:sz w:val="32"/>
    </w:rPr>
  </w:style>
  <w:style w:type="paragraph" w:styleId="4">
    <w:name w:val="heading 3"/>
    <w:basedOn w:val="3"/>
    <w:next w:val="1"/>
    <w:link w:val="20"/>
    <w:qFormat/>
    <w:uiPriority w:val="0"/>
    <w:pPr>
      <w:spacing w:before="120"/>
      <w:outlineLvl w:val="2"/>
    </w:pPr>
    <w:rPr>
      <w:sz w:val="28"/>
    </w:rPr>
  </w:style>
  <w:style w:type="paragraph" w:styleId="5">
    <w:name w:val="heading 4"/>
    <w:basedOn w:val="1"/>
    <w:next w:val="1"/>
    <w:link w:val="47"/>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paragraph" w:styleId="6">
    <w:name w:val="heading 5"/>
    <w:basedOn w:val="1"/>
    <w:next w:val="1"/>
    <w:link w:val="59"/>
    <w:semiHidden/>
    <w:unhideWhenUsed/>
    <w:qFormat/>
    <w:uiPriority w:val="9"/>
    <w:pPr>
      <w:keepNext/>
      <w:keepLines/>
      <w:spacing w:before="40" w:after="0"/>
      <w:outlineLvl w:val="4"/>
    </w:pPr>
    <w:rPr>
      <w:rFonts w:asciiTheme="majorHAnsi" w:hAnsiTheme="majorHAnsi" w:eastAsiaTheme="majorEastAsia" w:cstheme="majorBidi"/>
      <w:color w:val="2E75B6" w:themeColor="accent1" w:themeShade="BF"/>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22"/>
    <w:unhideWhenUsed/>
    <w:qFormat/>
    <w:uiPriority w:val="35"/>
    <w:pPr>
      <w:spacing w:after="0"/>
    </w:pPr>
    <w:rPr>
      <w:rFonts w:eastAsia="Times New Roman"/>
      <w:b/>
      <w:bCs/>
      <w:sz w:val="21"/>
      <w:szCs w:val="21"/>
      <w:lang w:val="en-US"/>
    </w:rPr>
  </w:style>
  <w:style w:type="paragraph" w:styleId="8">
    <w:name w:val="annotation text"/>
    <w:basedOn w:val="1"/>
    <w:link w:val="45"/>
    <w:semiHidden/>
    <w:unhideWhenUsed/>
    <w:qFormat/>
    <w:uiPriority w:val="99"/>
  </w:style>
  <w:style w:type="paragraph" w:styleId="9">
    <w:name w:val="Balloon Text"/>
    <w:basedOn w:val="1"/>
    <w:link w:val="29"/>
    <w:semiHidden/>
    <w:unhideWhenUsed/>
    <w:qFormat/>
    <w:uiPriority w:val="99"/>
    <w:pPr>
      <w:spacing w:after="0"/>
    </w:pPr>
    <w:rPr>
      <w:rFonts w:ascii="Segoe UI" w:hAnsi="Segoe UI" w:cs="Segoe UI"/>
      <w:sz w:val="18"/>
      <w:szCs w:val="18"/>
    </w:rPr>
  </w:style>
  <w:style w:type="paragraph" w:styleId="10">
    <w:name w:val="header"/>
    <w:basedOn w:val="1"/>
    <w:link w:val="34"/>
    <w:semiHidden/>
    <w:unhideWhenUsed/>
    <w:qFormat/>
    <w:uiPriority w:val="99"/>
    <w:pPr>
      <w:tabs>
        <w:tab w:val="center" w:pos="4513"/>
        <w:tab w:val="right" w:pos="9026"/>
      </w:tabs>
      <w:spacing w:after="0"/>
    </w:pPr>
  </w:style>
  <w:style w:type="paragraph" w:styleId="11">
    <w:name w:val="List"/>
    <w:basedOn w:val="1"/>
    <w:semiHidden/>
    <w:unhideWhenUsed/>
    <w:qFormat/>
    <w:uiPriority w:val="99"/>
    <w:pPr>
      <w:ind w:left="283" w:hanging="283"/>
      <w:contextualSpacing/>
    </w:pPr>
  </w:style>
  <w:style w:type="paragraph" w:styleId="12">
    <w:name w:val="Normal (Web)"/>
    <w:basedOn w:val="1"/>
    <w:semiHidden/>
    <w:unhideWhenUsed/>
    <w:qFormat/>
    <w:uiPriority w:val="99"/>
    <w:pPr>
      <w:spacing w:before="100" w:beforeAutospacing="1" w:after="100" w:afterAutospacing="1"/>
    </w:pPr>
    <w:rPr>
      <w:sz w:val="24"/>
      <w:szCs w:val="24"/>
      <w:lang w:eastAsia="zh-CN"/>
    </w:rPr>
  </w:style>
  <w:style w:type="paragraph" w:styleId="13">
    <w:name w:val="annotation subject"/>
    <w:basedOn w:val="8"/>
    <w:next w:val="8"/>
    <w:link w:val="46"/>
    <w:semiHidden/>
    <w:unhideWhenUsed/>
    <w:qFormat/>
    <w:uiPriority w:val="99"/>
    <w:rPr>
      <w:b/>
      <w:bCs/>
    </w:rPr>
  </w:style>
  <w:style w:type="table" w:styleId="15">
    <w:name w:val="Table Grid"/>
    <w:basedOn w:val="14"/>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semiHidden/>
    <w:unhideWhenUsed/>
    <w:qFormat/>
    <w:uiPriority w:val="99"/>
    <w:rPr>
      <w:sz w:val="16"/>
      <w:szCs w:val="16"/>
    </w:rPr>
  </w:style>
  <w:style w:type="character" w:customStyle="1" w:styleId="18">
    <w:name w:val="Heading 1 Char"/>
    <w:basedOn w:val="16"/>
    <w:link w:val="2"/>
    <w:qFormat/>
    <w:uiPriority w:val="0"/>
    <w:rPr>
      <w:rFonts w:ascii="Arial" w:hAnsi="Arial" w:cs="Times New Roman"/>
      <w:sz w:val="36"/>
      <w:szCs w:val="20"/>
      <w:lang w:eastAsia="en-US"/>
    </w:rPr>
  </w:style>
  <w:style w:type="character" w:customStyle="1" w:styleId="19">
    <w:name w:val="Heading 2 Char"/>
    <w:basedOn w:val="16"/>
    <w:link w:val="3"/>
    <w:qFormat/>
    <w:uiPriority w:val="0"/>
    <w:rPr>
      <w:rFonts w:ascii="Arial" w:hAnsi="Arial" w:cs="Times New Roman"/>
      <w:sz w:val="32"/>
      <w:szCs w:val="20"/>
      <w:lang w:eastAsia="en-US"/>
    </w:rPr>
  </w:style>
  <w:style w:type="character" w:customStyle="1" w:styleId="20">
    <w:name w:val="Heading 3 Char"/>
    <w:basedOn w:val="16"/>
    <w:link w:val="4"/>
    <w:qFormat/>
    <w:uiPriority w:val="0"/>
    <w:rPr>
      <w:rFonts w:ascii="Arial" w:hAnsi="Arial" w:cs="Times New Roman"/>
      <w:sz w:val="28"/>
      <w:szCs w:val="20"/>
      <w:lang w:eastAsia="en-US"/>
    </w:rPr>
  </w:style>
  <w:style w:type="paragraph" w:styleId="21">
    <w:name w:val="List Paragraph"/>
    <w:basedOn w:val="1"/>
    <w:link w:val="26"/>
    <w:qFormat/>
    <w:uiPriority w:val="34"/>
    <w:pPr>
      <w:ind w:left="720"/>
      <w:contextualSpacing/>
    </w:pPr>
  </w:style>
  <w:style w:type="character" w:customStyle="1" w:styleId="22">
    <w:name w:val="Caption Char1"/>
    <w:link w:val="7"/>
    <w:qFormat/>
    <w:uiPriority w:val="35"/>
    <w:rPr>
      <w:rFonts w:ascii="Times New Roman" w:hAnsi="Times New Roman" w:eastAsia="Times New Roman" w:cs="Times New Roman"/>
      <w:b/>
      <w:bCs/>
      <w:sz w:val="21"/>
      <w:szCs w:val="21"/>
      <w:lang w:val="en-US" w:eastAsia="en-US"/>
    </w:rPr>
  </w:style>
  <w:style w:type="paragraph" w:customStyle="1" w:styleId="23">
    <w:name w:val="CR Cover Page"/>
    <w:link w:val="24"/>
    <w:qFormat/>
    <w:uiPriority w:val="0"/>
    <w:pPr>
      <w:spacing w:after="120" w:line="240" w:lineRule="auto"/>
    </w:pPr>
    <w:rPr>
      <w:rFonts w:ascii="Arial" w:hAnsi="Arial" w:eastAsia="Times New Roman" w:cs="Times New Roman"/>
      <w:sz w:val="20"/>
      <w:szCs w:val="20"/>
      <w:lang w:val="en-GB" w:eastAsia="en-US" w:bidi="ar-SA"/>
    </w:rPr>
  </w:style>
  <w:style w:type="character" w:customStyle="1" w:styleId="24">
    <w:name w:val="CR Cover Page Char"/>
    <w:link w:val="23"/>
    <w:qFormat/>
    <w:uiPriority w:val="0"/>
    <w:rPr>
      <w:rFonts w:ascii="Arial" w:hAnsi="Arial" w:eastAsia="Times New Roman" w:cs="Times New Roman"/>
      <w:sz w:val="20"/>
      <w:szCs w:val="20"/>
      <w:lang w:eastAsia="en-US"/>
    </w:rPr>
  </w:style>
  <w:style w:type="character" w:customStyle="1" w:styleId="25">
    <w:name w:val="Heading 4 Char1"/>
    <w:qFormat/>
    <w:uiPriority w:val="0"/>
    <w:rPr>
      <w:rFonts w:ascii="Arial" w:hAnsi="Arial"/>
      <w:sz w:val="24"/>
      <w:lang w:val="en-GB" w:eastAsia="en-GB" w:bidi="ar-SA"/>
    </w:rPr>
  </w:style>
  <w:style w:type="character" w:customStyle="1" w:styleId="26">
    <w:name w:val="List Paragraph Char"/>
    <w:link w:val="21"/>
    <w:qFormat/>
    <w:locked/>
    <w:uiPriority w:val="34"/>
    <w:rPr>
      <w:rFonts w:ascii="Times New Roman" w:hAnsi="Times New Roman" w:cs="Times New Roman"/>
      <w:sz w:val="20"/>
      <w:szCs w:val="20"/>
      <w:lang w:eastAsia="en-US"/>
    </w:rPr>
  </w:style>
  <w:style w:type="character" w:customStyle="1" w:styleId="27">
    <w:name w:val="Heading 1 Char1"/>
    <w:qFormat/>
    <w:uiPriority w:val="0"/>
    <w:rPr>
      <w:rFonts w:ascii="Arial" w:hAnsi="Arial" w:eastAsia="Times New Roman"/>
      <w:sz w:val="36"/>
      <w:lang w:val="en-GB"/>
    </w:rPr>
  </w:style>
  <w:style w:type="character" w:styleId="28">
    <w:name w:val="Placeholder Text"/>
    <w:basedOn w:val="16"/>
    <w:semiHidden/>
    <w:qFormat/>
    <w:uiPriority w:val="99"/>
    <w:rPr>
      <w:color w:val="808080"/>
    </w:rPr>
  </w:style>
  <w:style w:type="character" w:customStyle="1" w:styleId="29">
    <w:name w:val="Balloon Text Char"/>
    <w:basedOn w:val="16"/>
    <w:link w:val="9"/>
    <w:semiHidden/>
    <w:qFormat/>
    <w:uiPriority w:val="99"/>
    <w:rPr>
      <w:rFonts w:ascii="Segoe UI" w:hAnsi="Segoe UI" w:cs="Segoe UI"/>
      <w:sz w:val="18"/>
      <w:szCs w:val="18"/>
      <w:lang w:eastAsia="en-US"/>
    </w:rPr>
  </w:style>
  <w:style w:type="paragraph" w:customStyle="1" w:styleId="30">
    <w:name w:val="EX"/>
    <w:basedOn w:val="1"/>
    <w:qFormat/>
    <w:uiPriority w:val="0"/>
    <w:pPr>
      <w:keepLines/>
      <w:ind w:left="1702" w:hanging="1418"/>
    </w:pPr>
    <w:rPr>
      <w:rFonts w:eastAsia="Times New Roman"/>
    </w:rPr>
  </w:style>
  <w:style w:type="paragraph" w:customStyle="1" w:styleId="31">
    <w:name w:val="B1"/>
    <w:basedOn w:val="11"/>
    <w:link w:val="54"/>
    <w:qFormat/>
    <w:uiPriority w:val="0"/>
    <w:pPr>
      <w:ind w:left="568" w:hanging="284"/>
      <w:contextualSpacing w:val="0"/>
    </w:pPr>
    <w:rPr>
      <w:rFonts w:eastAsia="Times New Roman"/>
    </w:rPr>
  </w:style>
  <w:style w:type="paragraph" w:customStyle="1" w:styleId="32">
    <w:name w:val="样式 页眉"/>
    <w:basedOn w:val="10"/>
    <w:link w:val="33"/>
    <w:qFormat/>
    <w:uiPriority w:val="0"/>
    <w:pPr>
      <w:widowControl w:val="0"/>
      <w:tabs>
        <w:tab w:val="clear" w:pos="4513"/>
        <w:tab w:val="clear" w:pos="9026"/>
      </w:tabs>
      <w:overflowPunct w:val="0"/>
      <w:autoSpaceDE w:val="0"/>
      <w:autoSpaceDN w:val="0"/>
      <w:adjustRightInd w:val="0"/>
      <w:textAlignment w:val="baseline"/>
    </w:pPr>
    <w:rPr>
      <w:rFonts w:ascii="Arial" w:hAnsi="Arial" w:eastAsia="Arial"/>
      <w:b/>
      <w:bCs/>
      <w:sz w:val="22"/>
    </w:rPr>
  </w:style>
  <w:style w:type="character" w:customStyle="1" w:styleId="33">
    <w:name w:val="样式 页眉 Char"/>
    <w:link w:val="32"/>
    <w:qFormat/>
    <w:uiPriority w:val="0"/>
    <w:rPr>
      <w:rFonts w:ascii="Arial" w:hAnsi="Arial" w:eastAsia="Arial" w:cs="Times New Roman"/>
      <w:b/>
      <w:bCs/>
      <w:szCs w:val="20"/>
      <w:lang w:eastAsia="en-US"/>
    </w:rPr>
  </w:style>
  <w:style w:type="character" w:customStyle="1" w:styleId="34">
    <w:name w:val="Header Char"/>
    <w:basedOn w:val="16"/>
    <w:link w:val="10"/>
    <w:semiHidden/>
    <w:qFormat/>
    <w:uiPriority w:val="99"/>
    <w:rPr>
      <w:rFonts w:ascii="Times New Roman" w:hAnsi="Times New Roman" w:cs="Times New Roman"/>
      <w:sz w:val="20"/>
      <w:szCs w:val="20"/>
      <w:lang w:eastAsia="en-US"/>
    </w:rPr>
  </w:style>
  <w:style w:type="paragraph" w:customStyle="1" w:styleId="35">
    <w:name w:val="TAH"/>
    <w:basedOn w:val="36"/>
    <w:link w:val="38"/>
    <w:qFormat/>
    <w:uiPriority w:val="0"/>
    <w:rPr>
      <w:b/>
    </w:rPr>
  </w:style>
  <w:style w:type="paragraph" w:customStyle="1" w:styleId="36">
    <w:name w:val="TAC"/>
    <w:basedOn w:val="1"/>
    <w:link w:val="37"/>
    <w:qFormat/>
    <w:uiPriority w:val="0"/>
    <w:pPr>
      <w:keepNext/>
      <w:keepLines/>
      <w:spacing w:after="0"/>
      <w:jc w:val="center"/>
    </w:pPr>
    <w:rPr>
      <w:rFonts w:ascii="Arial" w:hAnsi="Arial"/>
      <w:sz w:val="18"/>
    </w:rPr>
  </w:style>
  <w:style w:type="character" w:customStyle="1" w:styleId="37">
    <w:name w:val="TAC Char"/>
    <w:link w:val="36"/>
    <w:qFormat/>
    <w:uiPriority w:val="0"/>
    <w:rPr>
      <w:rFonts w:ascii="Arial" w:hAnsi="Arial" w:cs="Times New Roman"/>
      <w:sz w:val="18"/>
      <w:szCs w:val="20"/>
      <w:lang w:eastAsia="en-US"/>
    </w:rPr>
  </w:style>
  <w:style w:type="character" w:customStyle="1" w:styleId="38">
    <w:name w:val="TAH Car"/>
    <w:link w:val="35"/>
    <w:qFormat/>
    <w:uiPriority w:val="0"/>
    <w:rPr>
      <w:rFonts w:ascii="Arial" w:hAnsi="Arial" w:cs="Times New Roman"/>
      <w:b/>
      <w:sz w:val="18"/>
      <w:szCs w:val="20"/>
      <w:lang w:eastAsia="en-US"/>
    </w:rPr>
  </w:style>
  <w:style w:type="paragraph" w:customStyle="1" w:styleId="39">
    <w:name w:val="EQ"/>
    <w:basedOn w:val="1"/>
    <w:next w:val="1"/>
    <w:link w:val="40"/>
    <w:qFormat/>
    <w:uiPriority w:val="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40">
    <w:name w:val="EQ Char"/>
    <w:link w:val="39"/>
    <w:qFormat/>
    <w:uiPriority w:val="0"/>
    <w:rPr>
      <w:rFonts w:ascii="Times New Roman" w:hAnsi="Times New Roman" w:eastAsia="Times New Roman" w:cs="Times New Roman"/>
      <w:sz w:val="20"/>
      <w:szCs w:val="20"/>
      <w:lang w:eastAsia="en-GB"/>
    </w:rPr>
  </w:style>
  <w:style w:type="paragraph" w:customStyle="1" w:styleId="41">
    <w:name w:val="TH"/>
    <w:basedOn w:val="1"/>
    <w:link w:val="43"/>
    <w:qFormat/>
    <w:uiPriority w:val="0"/>
    <w:pPr>
      <w:keepNext/>
      <w:keepLines/>
      <w:spacing w:before="60"/>
      <w:jc w:val="center"/>
    </w:pPr>
    <w:rPr>
      <w:rFonts w:ascii="Arial" w:hAnsi="Arial" w:eastAsia="Times New Roman"/>
      <w:b/>
    </w:rPr>
  </w:style>
  <w:style w:type="paragraph" w:customStyle="1" w:styleId="42">
    <w:name w:val="TAN"/>
    <w:basedOn w:val="1"/>
    <w:link w:val="44"/>
    <w:qFormat/>
    <w:uiPriority w:val="0"/>
    <w:pPr>
      <w:keepNext/>
      <w:keepLines/>
      <w:spacing w:after="0"/>
      <w:ind w:left="851" w:hanging="851"/>
    </w:pPr>
    <w:rPr>
      <w:rFonts w:ascii="Arial" w:hAnsi="Arial" w:eastAsia="Times New Roman"/>
      <w:sz w:val="18"/>
    </w:rPr>
  </w:style>
  <w:style w:type="character" w:customStyle="1" w:styleId="43">
    <w:name w:val="TH Char"/>
    <w:link w:val="41"/>
    <w:qFormat/>
    <w:uiPriority w:val="0"/>
    <w:rPr>
      <w:rFonts w:ascii="Arial" w:hAnsi="Arial" w:eastAsia="Times New Roman" w:cs="Times New Roman"/>
      <w:b/>
      <w:sz w:val="20"/>
      <w:szCs w:val="20"/>
      <w:lang w:eastAsia="en-US"/>
    </w:rPr>
  </w:style>
  <w:style w:type="character" w:customStyle="1" w:styleId="44">
    <w:name w:val="TAN Char"/>
    <w:link w:val="42"/>
    <w:qFormat/>
    <w:uiPriority w:val="0"/>
    <w:rPr>
      <w:rFonts w:ascii="Arial" w:hAnsi="Arial" w:eastAsia="Times New Roman" w:cs="Times New Roman"/>
      <w:sz w:val="18"/>
      <w:szCs w:val="20"/>
      <w:lang w:eastAsia="en-US"/>
    </w:rPr>
  </w:style>
  <w:style w:type="character" w:customStyle="1" w:styleId="45">
    <w:name w:val="Comment Text Char"/>
    <w:basedOn w:val="16"/>
    <w:link w:val="8"/>
    <w:semiHidden/>
    <w:qFormat/>
    <w:uiPriority w:val="99"/>
    <w:rPr>
      <w:rFonts w:ascii="Times New Roman" w:hAnsi="Times New Roman" w:cs="Times New Roman"/>
      <w:sz w:val="20"/>
      <w:szCs w:val="20"/>
      <w:lang w:eastAsia="en-US"/>
    </w:rPr>
  </w:style>
  <w:style w:type="character" w:customStyle="1" w:styleId="46">
    <w:name w:val="Comment Subject Char"/>
    <w:basedOn w:val="45"/>
    <w:link w:val="13"/>
    <w:semiHidden/>
    <w:qFormat/>
    <w:uiPriority w:val="99"/>
    <w:rPr>
      <w:rFonts w:ascii="Times New Roman" w:hAnsi="Times New Roman" w:cs="Times New Roman"/>
      <w:b/>
      <w:bCs/>
      <w:sz w:val="20"/>
      <w:szCs w:val="20"/>
      <w:lang w:eastAsia="en-US"/>
    </w:rPr>
  </w:style>
  <w:style w:type="character" w:customStyle="1" w:styleId="47">
    <w:name w:val="Heading 4 Char"/>
    <w:basedOn w:val="16"/>
    <w:link w:val="5"/>
    <w:semiHidden/>
    <w:qFormat/>
    <w:uiPriority w:val="9"/>
    <w:rPr>
      <w:rFonts w:asciiTheme="majorHAnsi" w:hAnsiTheme="majorHAnsi" w:eastAsiaTheme="majorEastAsia" w:cstheme="majorBidi"/>
      <w:i/>
      <w:iCs/>
      <w:color w:val="2E75B6" w:themeColor="accent1" w:themeShade="BF"/>
      <w:sz w:val="20"/>
      <w:szCs w:val="20"/>
      <w:lang w:eastAsia="en-US"/>
    </w:rPr>
  </w:style>
  <w:style w:type="paragraph" w:customStyle="1" w:styleId="48">
    <w:name w:val="TAL"/>
    <w:basedOn w:val="1"/>
    <w:link w:val="49"/>
    <w:qFormat/>
    <w:uiPriority w:val="0"/>
    <w:pPr>
      <w:keepNext/>
      <w:keepLines/>
      <w:spacing w:after="0"/>
    </w:pPr>
    <w:rPr>
      <w:rFonts w:ascii="Arial" w:hAnsi="Arial" w:eastAsia="Times New Roman"/>
      <w:sz w:val="18"/>
    </w:rPr>
  </w:style>
  <w:style w:type="character" w:customStyle="1" w:styleId="49">
    <w:name w:val="TAL Char"/>
    <w:link w:val="48"/>
    <w:qFormat/>
    <w:uiPriority w:val="0"/>
    <w:rPr>
      <w:rFonts w:ascii="Arial" w:hAnsi="Arial" w:eastAsia="Times New Roman" w:cs="Times New Roman"/>
      <w:sz w:val="18"/>
      <w:szCs w:val="20"/>
      <w:lang w:eastAsia="en-US"/>
    </w:rPr>
  </w:style>
  <w:style w:type="table" w:customStyle="1" w:styleId="50">
    <w:name w:val="Table Grid1"/>
    <w:basedOn w:val="14"/>
    <w:qFormat/>
    <w:uiPriority w:val="39"/>
    <w:pPr>
      <w:spacing w:after="0" w:line="240" w:lineRule="auto"/>
    </w:pPr>
    <w:rPr>
      <w:rFonts w:ascii="Times New Roman" w:hAnsi="Times New Roman" w:eastAsia="Times New Roman"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
    <w:name w:val="NO"/>
    <w:basedOn w:val="1"/>
    <w:link w:val="53"/>
    <w:qFormat/>
    <w:uiPriority w:val="0"/>
    <w:pPr>
      <w:keepLines/>
      <w:ind w:left="1135" w:hanging="851"/>
    </w:pPr>
    <w:rPr>
      <w:rFonts w:eastAsia="Times New Roman"/>
    </w:rPr>
  </w:style>
  <w:style w:type="paragraph" w:customStyle="1" w:styleId="52">
    <w:name w:val="B3"/>
    <w:basedOn w:val="1"/>
    <w:link w:val="55"/>
    <w:qFormat/>
    <w:uiPriority w:val="0"/>
    <w:pPr>
      <w:ind w:left="1135" w:hanging="284"/>
    </w:pPr>
    <w:rPr>
      <w:rFonts w:eastAsia="Times New Roman"/>
    </w:rPr>
  </w:style>
  <w:style w:type="character" w:customStyle="1" w:styleId="53">
    <w:name w:val="NO Char"/>
    <w:link w:val="51"/>
    <w:qFormat/>
    <w:uiPriority w:val="0"/>
    <w:rPr>
      <w:rFonts w:ascii="Times New Roman" w:hAnsi="Times New Roman" w:eastAsia="Times New Roman" w:cs="Times New Roman"/>
      <w:sz w:val="20"/>
      <w:szCs w:val="20"/>
      <w:lang w:eastAsia="en-US"/>
    </w:rPr>
  </w:style>
  <w:style w:type="character" w:customStyle="1" w:styleId="54">
    <w:name w:val="B1 Char"/>
    <w:link w:val="31"/>
    <w:qFormat/>
    <w:uiPriority w:val="0"/>
    <w:rPr>
      <w:rFonts w:ascii="Times New Roman" w:hAnsi="Times New Roman" w:eastAsia="Times New Roman" w:cs="Times New Roman"/>
      <w:sz w:val="20"/>
      <w:szCs w:val="20"/>
      <w:lang w:eastAsia="en-US"/>
    </w:rPr>
  </w:style>
  <w:style w:type="character" w:customStyle="1" w:styleId="55">
    <w:name w:val="B3 Char"/>
    <w:link w:val="52"/>
    <w:qFormat/>
    <w:uiPriority w:val="0"/>
    <w:rPr>
      <w:rFonts w:ascii="Times New Roman" w:hAnsi="Times New Roman" w:eastAsia="Times New Roman" w:cs="Times New Roman"/>
      <w:sz w:val="20"/>
      <w:szCs w:val="20"/>
      <w:lang w:eastAsia="en-US"/>
    </w:rPr>
  </w:style>
  <w:style w:type="paragraph" w:customStyle="1" w:styleId="56">
    <w:name w:val="PL"/>
    <w:link w:val="5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szCs w:val="20"/>
      <w:lang w:val="en-GB" w:eastAsia="en-GB" w:bidi="ar-SA"/>
    </w:rPr>
  </w:style>
  <w:style w:type="character" w:customStyle="1" w:styleId="57">
    <w:name w:val="PL Char"/>
    <w:link w:val="56"/>
    <w:qFormat/>
    <w:uiPriority w:val="0"/>
    <w:rPr>
      <w:rFonts w:ascii="Courier New" w:hAnsi="Courier New" w:eastAsia="Times New Roman" w:cs="Times New Roman"/>
      <w:sz w:val="16"/>
      <w:szCs w:val="20"/>
      <w:shd w:val="clear" w:color="auto" w:fill="E6E6E6"/>
      <w:lang w:eastAsia="en-GB"/>
    </w:rPr>
  </w:style>
  <w:style w:type="character" w:customStyle="1" w:styleId="58">
    <w:name w:val="TAL Car"/>
    <w:qFormat/>
    <w:locked/>
    <w:uiPriority w:val="0"/>
    <w:rPr>
      <w:rFonts w:ascii="Arial" w:hAnsi="Arial" w:eastAsia="Times New Roman" w:cs="Arial"/>
      <w:sz w:val="18"/>
    </w:rPr>
  </w:style>
  <w:style w:type="character" w:customStyle="1" w:styleId="59">
    <w:name w:val="Heading 5 Char"/>
    <w:basedOn w:val="16"/>
    <w:link w:val="6"/>
    <w:semiHidden/>
    <w:qFormat/>
    <w:uiPriority w:val="9"/>
    <w:rPr>
      <w:rFonts w:asciiTheme="majorHAnsi" w:hAnsiTheme="majorHAnsi" w:eastAsiaTheme="majorEastAsia" w:cstheme="majorBidi"/>
      <w:color w:val="2E75B6" w:themeColor="accent1" w:themeShade="BF"/>
      <w:sz w:val="20"/>
      <w:szCs w:val="20"/>
      <w:lang w:eastAsia="en-US"/>
    </w:rPr>
  </w:style>
  <w:style w:type="paragraph" w:customStyle="1" w:styleId="60">
    <w:name w:val="B2"/>
    <w:basedOn w:val="1"/>
    <w:link w:val="61"/>
    <w:qFormat/>
    <w:uiPriority w:val="0"/>
    <w:pPr>
      <w:ind w:left="851" w:hanging="284"/>
    </w:pPr>
  </w:style>
  <w:style w:type="character" w:customStyle="1" w:styleId="61">
    <w:name w:val="B2 Char"/>
    <w:link w:val="60"/>
    <w:qFormat/>
    <w:locked/>
    <w:uiPriority w:val="0"/>
    <w:rPr>
      <w:rFonts w:ascii="Times New Roman" w:hAnsi="Times New Roman" w:cs="Times New Roman"/>
      <w:sz w:val="20"/>
      <w:szCs w:val="20"/>
      <w:lang w:eastAsia="en-US"/>
    </w:rPr>
  </w:style>
  <w:style w:type="table" w:customStyle="1" w:styleId="62">
    <w:name w:val="Table Grid2"/>
    <w:basedOn w:val="14"/>
    <w:qFormat/>
    <w:uiPriority w:val="39"/>
    <w:pPr>
      <w:overflowPunct w:val="0"/>
      <w:autoSpaceDE w:val="0"/>
      <w:autoSpaceDN w:val="0"/>
      <w:adjustRightInd w:val="0"/>
      <w:spacing w:after="180" w:line="240" w:lineRule="auto"/>
      <w:textAlignment w:val="baseline"/>
    </w:pPr>
    <w:rPr>
      <w:rFonts w:ascii="Times New Roman" w:hAnsi="Times New Roman" w:eastAsia="Yu Mincho" w:cs="Times New Roman"/>
      <w:sz w:val="20"/>
      <w:szCs w:val="20"/>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FP"/>
    <w:basedOn w:val="1"/>
    <w:qFormat/>
    <w:uiPriority w:val="0"/>
    <w:pPr>
      <w:spacing w:after="0"/>
    </w:p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character" w:customStyle="1" w:styleId="65">
    <w:name w:val="ZGSM"/>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C1BA9-21FE-41C5-A431-FFCA2800A1D1}">
  <ds:schemaRefs/>
</ds:datastoreItem>
</file>

<file path=docProps/app.xml><?xml version="1.0" encoding="utf-8"?>
<Properties xmlns="http://schemas.openxmlformats.org/officeDocument/2006/extended-properties" xmlns:vt="http://schemas.openxmlformats.org/officeDocument/2006/docPropsVTypes">
  <Template>Normal</Template>
  <Pages>1</Pages>
  <Words>111</Words>
  <Characters>595</Characters>
  <Lines>18</Lines>
  <Paragraphs>5</Paragraphs>
  <TotalTime>2</TotalTime>
  <ScaleCrop>false</ScaleCrop>
  <LinksUpToDate>false</LinksUpToDate>
  <CharactersWithSpaces>706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2019-10-04T18:09:00Z</dcterms:created>
  <dc:creator>China Unicom</dc:creator>
  <cp:lastModifiedBy>China Unicom</cp:lastModifiedBy>
  <dcterms:modified xsi:type="dcterms:W3CDTF">2023-03-13T13:38:07Z</dcterms:modified>
  <cp:revision>338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1676040646</vt:lpwstr>
  </property>
  <property fmtid="{D5CDD505-2E9C-101B-9397-08002B2CF9AE}" pid="6" name="KSOProductBuildVer">
    <vt:lpwstr>2052-11.8.2.11824</vt:lpwstr>
  </property>
  <property fmtid="{D5CDD505-2E9C-101B-9397-08002B2CF9AE}" pid="7" name="ICV">
    <vt:lpwstr>8AC05B7BFD374C57849D04F0798FB2AB</vt:lpwstr>
  </property>
</Properties>
</file>